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36" w:rsidRDefault="007E5936" w:rsidP="007E5936">
      <w:r>
        <w:rPr>
          <w:rStyle w:val="date"/>
        </w:rPr>
        <w:t>22/06/2017</w:t>
      </w:r>
      <w:r>
        <w:t xml:space="preserve">    </w:t>
      </w:r>
      <w:r>
        <w:rPr>
          <w:rStyle w:val="oj"/>
        </w:rPr>
        <w:t>S118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7E5936" w:rsidRDefault="007E5936" w:rsidP="007E5936">
      <w:pPr>
        <w:numPr>
          <w:ilvl w:val="0"/>
          <w:numId w:val="7"/>
        </w:numPr>
        <w:spacing w:before="100" w:beforeAutospacing="1" w:after="100" w:afterAutospacing="1"/>
      </w:pPr>
      <w:hyperlink r:id="rId5" w:anchor="id2872879-I." w:history="1">
        <w:r>
          <w:rPr>
            <w:rStyle w:val="Hipercze"/>
          </w:rPr>
          <w:t>I.</w:t>
        </w:r>
      </w:hyperlink>
    </w:p>
    <w:p w:rsidR="007E5936" w:rsidRDefault="007E5936" w:rsidP="007E5936">
      <w:pPr>
        <w:numPr>
          <w:ilvl w:val="0"/>
          <w:numId w:val="7"/>
        </w:numPr>
        <w:spacing w:before="100" w:beforeAutospacing="1" w:after="100" w:afterAutospacing="1"/>
      </w:pPr>
      <w:hyperlink r:id="rId6" w:anchor="id2872880-II." w:history="1">
        <w:r>
          <w:rPr>
            <w:rStyle w:val="Hipercze"/>
          </w:rPr>
          <w:t>II.</w:t>
        </w:r>
      </w:hyperlink>
    </w:p>
    <w:p w:rsidR="007E5936" w:rsidRDefault="007E5936" w:rsidP="007E5936">
      <w:pPr>
        <w:numPr>
          <w:ilvl w:val="0"/>
          <w:numId w:val="7"/>
        </w:numPr>
        <w:spacing w:before="100" w:beforeAutospacing="1" w:after="100" w:afterAutospacing="1"/>
      </w:pPr>
      <w:hyperlink r:id="rId7" w:anchor="id2872881-III." w:history="1">
        <w:r>
          <w:rPr>
            <w:rStyle w:val="Hipercze"/>
          </w:rPr>
          <w:t>III.</w:t>
        </w:r>
      </w:hyperlink>
    </w:p>
    <w:p w:rsidR="007E5936" w:rsidRDefault="007E5936" w:rsidP="007E5936">
      <w:pPr>
        <w:numPr>
          <w:ilvl w:val="0"/>
          <w:numId w:val="7"/>
        </w:numPr>
        <w:spacing w:before="100" w:beforeAutospacing="1" w:after="100" w:afterAutospacing="1"/>
      </w:pPr>
      <w:hyperlink r:id="rId8" w:anchor="id2872882-IV." w:history="1">
        <w:r>
          <w:rPr>
            <w:rStyle w:val="Hipercze"/>
          </w:rPr>
          <w:t>IV.</w:t>
        </w:r>
      </w:hyperlink>
    </w:p>
    <w:p w:rsidR="007E5936" w:rsidRDefault="007E5936" w:rsidP="007E5936">
      <w:pPr>
        <w:numPr>
          <w:ilvl w:val="0"/>
          <w:numId w:val="7"/>
        </w:numPr>
        <w:spacing w:before="100" w:beforeAutospacing="1" w:after="100" w:afterAutospacing="1"/>
      </w:pPr>
      <w:hyperlink r:id="rId9" w:anchor="id2872883-VI." w:history="1">
        <w:r>
          <w:rPr>
            <w:rStyle w:val="Hipercze"/>
          </w:rPr>
          <w:t>VI.</w:t>
        </w:r>
      </w:hyperlink>
    </w:p>
    <w:p w:rsidR="007E5936" w:rsidRDefault="007E5936" w:rsidP="007E5936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Urządzenia medyczne, farmaceutyki i produkty do pielęgnacji ciała</w:t>
      </w:r>
    </w:p>
    <w:p w:rsidR="007E5936" w:rsidRDefault="007E5936" w:rsidP="007E5936">
      <w:pPr>
        <w:pStyle w:val="NormalnyWeb"/>
        <w:jc w:val="center"/>
        <w:rPr>
          <w:b/>
          <w:bCs/>
        </w:rPr>
      </w:pPr>
      <w:r>
        <w:rPr>
          <w:b/>
          <w:bCs/>
        </w:rPr>
        <w:t>2017/S 118-236510</w:t>
      </w:r>
    </w:p>
    <w:p w:rsidR="007E5936" w:rsidRDefault="007E5936" w:rsidP="007E5936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7E5936" w:rsidRDefault="007E5936" w:rsidP="007E5936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7E5936" w:rsidRDefault="007E5936" w:rsidP="007E5936">
      <w:r>
        <w:t>Dyrektywa 2014/24/UE</w:t>
      </w:r>
    </w:p>
    <w:p w:rsidR="007E5936" w:rsidRDefault="007E5936" w:rsidP="007E5936">
      <w:pPr>
        <w:pStyle w:val="tigrseq"/>
      </w:pPr>
      <w:r>
        <w:t>Sekcja I: Instytucja zamawiająca</w:t>
      </w:r>
    </w:p>
    <w:p w:rsidR="007E5936" w:rsidRDefault="007E5936" w:rsidP="007E5936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SP WZOZ MSW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7E5936" w:rsidRDefault="007E5936" w:rsidP="007E5936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Wspólne zamówienie</w:t>
      </w:r>
    </w:p>
    <w:p w:rsidR="007E5936" w:rsidRDefault="007E5936" w:rsidP="007E5936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http://www.szpital-msw.bydgoszcz.pl/</w:t>
        </w:r>
      </w:hyperlink>
    </w:p>
    <w:p w:rsidR="007E5936" w:rsidRDefault="007E5936" w:rsidP="007E5936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7E5936" w:rsidRDefault="007E5936" w:rsidP="007E5936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Podmiot prawa publicznego</w:t>
      </w:r>
    </w:p>
    <w:p w:rsidR="007E5936" w:rsidRDefault="007E5936" w:rsidP="007E5936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Zdrowie</w:t>
      </w:r>
    </w:p>
    <w:p w:rsidR="007E5936" w:rsidRDefault="007E5936" w:rsidP="007E5936">
      <w:pPr>
        <w:pStyle w:val="tigrseq"/>
      </w:pPr>
      <w:r>
        <w:t>Sekcja II: Przedmiot</w:t>
      </w:r>
    </w:p>
    <w:p w:rsidR="007E5936" w:rsidRDefault="007E5936" w:rsidP="007E5936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7E5936" w:rsidRDefault="007E5936" w:rsidP="007E5936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Zakup i dostawa leków, płynów infuzyjnych, preparatów farmaceutycznych, preparatów do żywienia dojelitowego i pozajelitowego, przyrządów do podaży diet, płynów i sprzętu jednorazowego do terapii ...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Numer referencyjny: 04/2017</w:t>
      </w:r>
    </w:p>
    <w:p w:rsidR="007E5936" w:rsidRDefault="007E5936" w:rsidP="007E5936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33000000</w:t>
      </w:r>
    </w:p>
    <w:p w:rsidR="007E5936" w:rsidRDefault="007E5936" w:rsidP="007E5936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Dostawy</w:t>
      </w:r>
    </w:p>
    <w:p w:rsidR="007E5936" w:rsidRDefault="007E5936" w:rsidP="007E5936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1. Przedmiotem postępowania jest 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 szczegółowo określonych w załączniku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2. Przedmiot zamówienia obejmuje 27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 xml:space="preserve">, jak i wymagania zawarte w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</w:p>
    <w:p w:rsidR="007E5936" w:rsidRDefault="007E5936" w:rsidP="007E5936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Wartość bez VAT: 2 774 014.43 PLN</w:t>
      </w:r>
    </w:p>
    <w:p w:rsidR="007E5936" w:rsidRDefault="007E5936" w:rsidP="007E5936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Leki iniekcyjne, doustne i inne </w:t>
      </w:r>
      <w:proofErr w:type="spellStart"/>
      <w:r>
        <w:rPr>
          <w:color w:val="000000"/>
        </w:rPr>
        <w:t>cz.I</w:t>
      </w:r>
      <w:proofErr w:type="spellEnd"/>
      <w:r>
        <w:rPr>
          <w:color w:val="000000"/>
        </w:rPr>
        <w:t>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2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33622000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Leki kardiologiczne i inne.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3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33651100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Antybiotyki i inne.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4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4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Leki iniekcyjne, doustne i inne </w:t>
      </w:r>
      <w:proofErr w:type="spellStart"/>
      <w:r>
        <w:rPr>
          <w:color w:val="000000"/>
        </w:rPr>
        <w:t>cz.II</w:t>
      </w:r>
      <w:proofErr w:type="spellEnd"/>
      <w:r>
        <w:rPr>
          <w:color w:val="000000"/>
        </w:rPr>
        <w:t>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5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5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33651520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Immunoglobuliny.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6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6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Anestetyki wziewne preparaty żywieniowe.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7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Preparaty przeciwkrwotoczne.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8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33651520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Immunoglobuliny specyficzne.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9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9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Insuliny i inne produkty lecznicze.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10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>Część nr: 10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33641200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Systemy terapeutyczne.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11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11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33692500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Płyny infuzyjne.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12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12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33692200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Preparaty do żywienia pozajelitowego.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13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33692510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Preparaty do żywienia dojelitowego i przyrządy do podaży diet.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14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14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33692800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Płyny i sprzęt jednorazowy do terapii nerkozastępczej.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15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15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Materiały opatrunkowe – opaski, plastry, opatrunki jałowe.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16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16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Materiały opatrunkowe – wyroby gazowe jałowe, środki higieniczne i inne.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17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Opatrunki specjalistyczne.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18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Zestaw do artroskopii stawu kolanowego.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19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19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Zestaw do porodu fizjologicznego jednorazowego użytku.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20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>Część nr: 20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Zestaw do wkłucia centralnego.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21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21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Zestawy operacyjne i materiały medyczne do zabiegów operacyjnych I.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22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22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Zestawy operacyjne i materiały medyczne do zabiegów operacyjnych II.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lastRenderedPageBreak/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23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Zestawy zabiegowe.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24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24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33141116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lastRenderedPageBreak/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Zabezpieczenia foliowe </w:t>
      </w:r>
      <w:proofErr w:type="spellStart"/>
      <w:r>
        <w:rPr>
          <w:color w:val="000000"/>
        </w:rPr>
        <w:t>specjalistycze</w:t>
      </w:r>
      <w:proofErr w:type="spellEnd"/>
      <w:r>
        <w:rPr>
          <w:color w:val="000000"/>
        </w:rPr>
        <w:t>- bakteriobójcze.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25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25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33692600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Preparaty recepturowe i galenowe.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lastRenderedPageBreak/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26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26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33631600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Preparaty do dezynfekcji skóry 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 xml:space="preserve"> I.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Pakiet nr 27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Część nr: 27</w:t>
      </w:r>
    </w:p>
    <w:p w:rsidR="007E5936" w:rsidRDefault="007E5936" w:rsidP="007E593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7E5936" w:rsidRDefault="007E5936" w:rsidP="007E5936">
      <w:pPr>
        <w:rPr>
          <w:color w:val="000000"/>
        </w:rPr>
      </w:pPr>
      <w:r>
        <w:rPr>
          <w:rStyle w:val="cpvcode"/>
          <w:color w:val="000000"/>
        </w:rPr>
        <w:t>33631600</w:t>
      </w:r>
    </w:p>
    <w:p w:rsidR="007E5936" w:rsidRDefault="007E5936" w:rsidP="007E593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lastRenderedPageBreak/>
        <w:t xml:space="preserve">Kod NUTS: </w:t>
      </w:r>
      <w:r>
        <w:rPr>
          <w:rStyle w:val="nutscode"/>
          <w:color w:val="000000"/>
        </w:rPr>
        <w:t>PL613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Dział Farmacji Szpitalnej SP WZOZ MSW w Bydgoszczy.</w:t>
      </w:r>
    </w:p>
    <w:p w:rsidR="007E5936" w:rsidRDefault="007E5936" w:rsidP="007E593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Preparaty do dezynfekcji skóry 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 xml:space="preserve"> II.</w:t>
      </w:r>
    </w:p>
    <w:p w:rsidR="007E5936" w:rsidRDefault="007E5936" w:rsidP="007E5936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7E5936" w:rsidRDefault="007E5936" w:rsidP="007E593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7E5936" w:rsidRDefault="007E5936" w:rsidP="007E593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Początek: 01/09/2017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Koniec: 31/08/2018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7E5936" w:rsidRDefault="007E5936" w:rsidP="007E5936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7E5936" w:rsidRDefault="007E5936" w:rsidP="007E5936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Opcje: nie</w:t>
      </w:r>
    </w:p>
    <w:p w:rsidR="007E5936" w:rsidRDefault="007E5936" w:rsidP="007E5936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7E5936" w:rsidRDefault="007E5936" w:rsidP="007E593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7E5936" w:rsidRDefault="007E5936" w:rsidP="007E593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7E5936" w:rsidRDefault="007E5936" w:rsidP="007E5936">
      <w:pPr>
        <w:pStyle w:val="tigrseq"/>
      </w:pPr>
      <w:r>
        <w:t>Sekcja III: Informacje o charakterze prawnym, ekonomicznym, finansowym i technicznym</w:t>
      </w:r>
    </w:p>
    <w:p w:rsidR="007E5936" w:rsidRDefault="007E5936" w:rsidP="007E5936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7E5936" w:rsidRDefault="007E5936" w:rsidP="007E5936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Wykonawca spełni warunek jeżeli wykaże, że posiada zezwolenie na obrót produktami leczniczymi (dotyczy wykonawców oferujących produkty lecznicze);</w:t>
      </w:r>
    </w:p>
    <w:p w:rsidR="007E5936" w:rsidRDefault="007E5936" w:rsidP="007E5936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7E5936" w:rsidRDefault="007E5936" w:rsidP="007E5936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krótszy- w tym okresie min. jedną dostawę odpowiadającą swoim rodzajem, dostawie stanowiącej przedmiot zamówienia w niniejszym postępowaniu, każda o wartości nie mniejszej niż odpowiednio dla: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Nr pakietu Wartość dostaw w zł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lastRenderedPageBreak/>
        <w:t>1 762 000,00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2 1 280,00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3 94 000,00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4 84 150,00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5 36 100,00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6 18 100,00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7 4 400,00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8 4 400,00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9 29 100,00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10 69 500,00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11 108 300,00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12 111 000,00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13 156 100,00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14 146 500,00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15 49 500,00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16 207 400,00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17 15 800,00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18 6 500,00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19 56 000,00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20 945,00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21 36 900,00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22 35 600,00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23 10 000,00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24 15 400,00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25 10 500,00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lastRenderedPageBreak/>
        <w:t>26 13 200,00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27 13 300,00.</w:t>
      </w:r>
    </w:p>
    <w:p w:rsidR="007E5936" w:rsidRDefault="007E5936" w:rsidP="007E5936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7E5936" w:rsidRDefault="007E5936" w:rsidP="007E5936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7E5936" w:rsidRDefault="007E5936" w:rsidP="007E5936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Określone w Specyfikacji Istotnych Warunków Zamówienia – główne postanowienia umowy.</w:t>
      </w:r>
    </w:p>
    <w:p w:rsidR="007E5936" w:rsidRDefault="007E5936" w:rsidP="007E5936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7E5936" w:rsidRDefault="007E5936" w:rsidP="007E5936">
      <w:pPr>
        <w:pStyle w:val="tigrseq"/>
      </w:pPr>
      <w:r>
        <w:t>Sekcja IV: Procedura</w:t>
      </w:r>
    </w:p>
    <w:p w:rsidR="007E5936" w:rsidRDefault="007E5936" w:rsidP="007E5936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7E5936" w:rsidRDefault="007E5936" w:rsidP="007E5936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Procedura otwarta</w:t>
      </w:r>
    </w:p>
    <w:p w:rsidR="007E5936" w:rsidRDefault="007E5936" w:rsidP="007E5936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7E5936" w:rsidRDefault="007E5936" w:rsidP="007E5936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7E5936" w:rsidRDefault="007E5936" w:rsidP="007E5936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7E5936" w:rsidRDefault="007E5936" w:rsidP="007E5936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7E5936" w:rsidRDefault="007E5936" w:rsidP="007E5936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7E5936" w:rsidRDefault="007E5936" w:rsidP="007E5936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7E5936" w:rsidRDefault="007E5936" w:rsidP="007E5936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Data: 31/07/2017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Czas lokalny: 08:30</w:t>
      </w:r>
    </w:p>
    <w:p w:rsidR="007E5936" w:rsidRDefault="007E5936" w:rsidP="007E5936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7E5936" w:rsidRDefault="007E5936" w:rsidP="007E5936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Polski</w:t>
      </w:r>
    </w:p>
    <w:p w:rsidR="007E5936" w:rsidRDefault="007E5936" w:rsidP="007E5936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7E5936" w:rsidRDefault="007E5936" w:rsidP="007E5936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Data: 31/07/2017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Czas lokalny: 09:00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Miejsce: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SP WZOZ MSW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 85-015 Bydgoszcz </w:t>
      </w:r>
      <w:proofErr w:type="spellStart"/>
      <w:r>
        <w:rPr>
          <w:color w:val="000000"/>
        </w:rPr>
        <w:t>pok</w:t>
      </w:r>
      <w:proofErr w:type="spellEnd"/>
      <w:r>
        <w:rPr>
          <w:color w:val="000000"/>
        </w:rPr>
        <w:t xml:space="preserve"> 530 V piętro.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Informacje o osobach upoważnionych i procedurze otwarcia: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Otwarcie jawne, członkowie komisji, wykonawcy.</w:t>
      </w:r>
    </w:p>
    <w:p w:rsidR="007E5936" w:rsidRDefault="007E5936" w:rsidP="007E5936">
      <w:pPr>
        <w:pStyle w:val="tigrseq"/>
      </w:pPr>
      <w:r>
        <w:t>Sekcja VI: Informacje uzupełniające</w:t>
      </w:r>
    </w:p>
    <w:p w:rsidR="007E5936" w:rsidRDefault="007E5936" w:rsidP="007E5936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7E5936" w:rsidRDefault="007E5936" w:rsidP="007E5936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7E5936" w:rsidRDefault="007E5936" w:rsidP="007E5936">
      <w:r>
        <w:rPr>
          <w:rStyle w:val="nomark"/>
          <w:color w:val="000000"/>
        </w:rPr>
        <w:lastRenderedPageBreak/>
        <w:t>VI.3)</w:t>
      </w:r>
      <w:r>
        <w:rPr>
          <w:rStyle w:val="timark"/>
          <w:b/>
          <w:bCs/>
          <w:color w:val="000000"/>
        </w:rPr>
        <w:t>Informacje dodatkowe: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następującej wysokości: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Nr pakietu Wartość wadium w zł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1 21 700,00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2 36,00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3 2 600,00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4 2 400,00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5 1 030,00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6 520,00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7 12,00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8 125,00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9 830,00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10 1 980,00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11 3 100,00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12 3 170,00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13 4 460,00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14 4 180,00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15 1 410,00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16 5 920,00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17 450,00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18 180,00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19 1 600,00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20 27,00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21 1 050,00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22 1 020,00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lastRenderedPageBreak/>
        <w:t>23 280,00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24 440,00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25 300,00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26 380,00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27 380,00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2. Zamawiający w prowadzonym postępowaniu wybierze najkorzystniejszą ofertę przy wykorzystaniu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„procedury odwróconej” (zgodnie z art. 24 aa ustawy).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4. Zamawiający nie przewiduje udzielenia zamówień, o których mowa w art. 67 ust. 1 pkt. 7 ustawy.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5. Z postępowania o udzielenie zamówienia wyklucza się Wykonawcę, w stosunku do którego zachodzi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którakolwiek z okoliczności, o których mowa w art. 24 ust. 1 pkt. 12-23 ustawy.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6. Dodatkowo Zamawiający wykluczy Wykonawcę na podstawie art. 24 ust. 5 pkt. 1 ustawy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1) Oświadczenie w formie „jednolitego dokumentu” stanowiące wstępne potwierdzenie, że wykonawca nie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podlega wykluczeniu i spełnia warunki udziału w postępowaniu w zakresie określonym przez zamawiającego w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SIWZ.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2) Pełnomocnictwo: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W przypadku, gdy wykonawcę/wykonawców reprezentuje pełnomocnik do oferty należy załączyć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pełnomocnictwo określające zakres umocowania oraz dane mocodawcy (wykonawcy) i pełnomocnika,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podpisane przez osoby uprawnione do reprezentowania wykonawcy(-ów).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3) ZOBOWIĄZANIE, o którym mowa w ust. 5 pkt 2 SIWZ (jeśli dotyczy).</w:t>
      </w:r>
    </w:p>
    <w:p w:rsidR="007E5936" w:rsidRDefault="007E5936" w:rsidP="007E5936">
      <w:r>
        <w:rPr>
          <w:rStyle w:val="nomark"/>
          <w:color w:val="000000"/>
        </w:rPr>
        <w:lastRenderedPageBreak/>
        <w:t>VI.4)</w:t>
      </w:r>
      <w:r>
        <w:rPr>
          <w:rStyle w:val="timark"/>
          <w:b/>
          <w:bCs/>
          <w:color w:val="000000"/>
        </w:rPr>
        <w:t>Procedury odwoławcze</w:t>
      </w:r>
    </w:p>
    <w:p w:rsidR="007E5936" w:rsidRDefault="007E5936" w:rsidP="007E5936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internetowy:</w:t>
      </w:r>
      <w:hyperlink r:id="rId14" w:tgtFrame="_blank" w:history="1">
        <w:r>
          <w:rPr>
            <w:rStyle w:val="Hipercze"/>
          </w:rPr>
          <w:t>http</w:t>
        </w:r>
        <w:proofErr w:type="spellEnd"/>
        <w:r>
          <w:rPr>
            <w:rStyle w:val="Hipercze"/>
          </w:rPr>
          <w:t>://www.uzp.gov.pl</w:t>
        </w:r>
      </w:hyperlink>
    </w:p>
    <w:p w:rsidR="007E5936" w:rsidRDefault="007E5936" w:rsidP="007E5936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7E5936" w:rsidRDefault="007E5936" w:rsidP="007E5936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1. Wykonawcy, a także innemu podmiotowi, jeżeli ma lub miał interes w uzyskaniu zamówienia oraz poniósł lub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., przysługują środki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ochrony prawnej określone w dziale VI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Środki ochrony prawnej wobec ogłoszenia o zamówieniu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oraz specyfikacji istotnych warunków zamówienia przysługują również organizacjom wpisanym na listę, o której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mowa w art. 154 pkt 5 ustawy Pzp.2. Odwołanie przysługuje wyłącznie od niezgodnej z przepisami ustawy </w:t>
      </w:r>
      <w:proofErr w:type="spellStart"/>
      <w:r>
        <w:rPr>
          <w:color w:val="000000"/>
        </w:rPr>
        <w:t>Pzp</w:t>
      </w:r>
      <w:proofErr w:type="spellEnd"/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czynności Zamawiającego podjętej w postępowaniu o udzielenie zamówienia lub zaniechania czynności, do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której Zamawiający jest zobowiązany na podstawie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3. Odwołanie powinno wskazywać czynność lub zaniechanie czynności Zamawiającego, której zarzuca się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niezgodność z przepisami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zawierać zwięzłe przedstawienie zarzutów, określać żądanie oraz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wskazywać okoliczności faktyczne i prawne uzasadniające wniesienie odwołania.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4. Odwołanie wnosi się do Prezesa Krajowej Izby Odwoławczej w formie pisemnej lub w postaci</w:t>
      </w:r>
    </w:p>
    <w:p w:rsidR="007E5936" w:rsidRDefault="007E5936" w:rsidP="007E5936">
      <w:pPr>
        <w:pStyle w:val="NormalnyWeb"/>
        <w:rPr>
          <w:color w:val="000000"/>
        </w:rPr>
      </w:pPr>
      <w:proofErr w:type="spellStart"/>
      <w:r>
        <w:rPr>
          <w:color w:val="000000"/>
        </w:rPr>
        <w:t>elektronicznej,podpisane</w:t>
      </w:r>
      <w:proofErr w:type="spellEnd"/>
      <w:r>
        <w:rPr>
          <w:color w:val="000000"/>
        </w:rPr>
        <w:t xml:space="preserve"> bezpiecznym podpisem elektronicznym weryfikowanym przy pomocy ważnego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lastRenderedPageBreak/>
        <w:t>kwalifikowanego certyfikatu lub równoważnego środka, spełniającego wymagania dla tego rodzaju</w:t>
      </w:r>
    </w:p>
    <w:p w:rsidR="007E5936" w:rsidRDefault="007E5936" w:rsidP="007E5936">
      <w:pPr>
        <w:pStyle w:val="NormalnyWeb"/>
        <w:rPr>
          <w:color w:val="000000"/>
        </w:rPr>
      </w:pPr>
      <w:proofErr w:type="spellStart"/>
      <w:r>
        <w:rPr>
          <w:color w:val="000000"/>
        </w:rPr>
        <w:t>podpisu,przesyłając</w:t>
      </w:r>
      <w:proofErr w:type="spellEnd"/>
      <w:r>
        <w:rPr>
          <w:color w:val="000000"/>
        </w:rPr>
        <w:t xml:space="preserve"> kopię odwołania Zamawiającemu przed upływem terminu do wniesienia odwołania w taki</w:t>
      </w:r>
    </w:p>
    <w:p w:rsidR="007E5936" w:rsidRDefault="007E5936" w:rsidP="007E5936">
      <w:pPr>
        <w:pStyle w:val="NormalnyWeb"/>
        <w:rPr>
          <w:color w:val="000000"/>
        </w:rPr>
      </w:pPr>
      <w:proofErr w:type="spellStart"/>
      <w:r>
        <w:rPr>
          <w:color w:val="000000"/>
        </w:rPr>
        <w:t>sposób,aby</w:t>
      </w:r>
      <w:proofErr w:type="spellEnd"/>
      <w:r>
        <w:rPr>
          <w:color w:val="000000"/>
        </w:rPr>
        <w:t xml:space="preserve"> mógł on zapoznać się z jego treścią przed upływem tego terminu.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5. Terminy wniesienia odwołania: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5.1. Odwołanie wnosi się w terminie 10 dni od dnia przesłania informacji o czynności Zamawiającego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stanowiącej podstawę jego wniesienia – jeśli zostały przesłane w sposób określony w art. 180 ust. 5 zdanie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drugie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albo w terminie 15 dni – jeżeli zostały przesłane w inny sposób.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5.2. Odwołanie wobec treści ogłoszenia o zamówieniu, a także wobec postanowień Specyfikacji Istotnych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Warunków Zamówienia, wnosi się w terminie 10 dni od dnia publikacji ogłoszenia w Dzienniku Urzędowym Unii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Europejskiej lub zamieszczenia specyfikacji istotnych warunków zamówienia na stronie internetowej.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5.3. Odwołanie wobec czynności innych niż określone w pkt 5.1. i 5.2. wnosi się w terminie 10 dni od dnia, w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którym powzięto lub przy zachowaniu należytej staranności można było powziąć wiadomość o okolicznościach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stanowiących podstawę jego wniesienia.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5.4. Jeśli Zamawiający nie przesłał Wykonawcy zawiadomienia o wyborze oferty najkorzystniejszej odwołanie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wnosi się nie później niż w terminie: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1) 30 dni od dnia publikacji w Dzienniku Urzędowym Unii Europejskiej ogłoszenia o udzieleniu zamówienia.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2) 6 miesięcy od dnia zawarcia umowy, jeżeli Zamawiający nie opublikował w Dzienniku Urzędowym Unii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Europejskiej ogłoszenia o udzieleniu zamówienia.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6. Szczegółowe zasady postępowania po wniesieniu odwołania, określają stosowne przepisy Działu VI ustawy</w:t>
      </w:r>
    </w:p>
    <w:p w:rsidR="007E5936" w:rsidRDefault="007E5936" w:rsidP="007E5936">
      <w:pPr>
        <w:pStyle w:val="NormalnyWeb"/>
        <w:rPr>
          <w:color w:val="000000"/>
        </w:rPr>
      </w:pPr>
      <w:proofErr w:type="spellStart"/>
      <w:r>
        <w:rPr>
          <w:color w:val="000000"/>
        </w:rPr>
        <w:lastRenderedPageBreak/>
        <w:t>Pzp</w:t>
      </w:r>
      <w:proofErr w:type="spellEnd"/>
      <w:r>
        <w:rPr>
          <w:color w:val="000000"/>
        </w:rPr>
        <w:t>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7. Na orzeczenie Krajowej Izby Odwoławczej, stronom oraz uczestnikom postępowania odwoławczego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przysługuje skarga do sądu.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8. Skargę wnosi się do sądu okręgowego właściwego dla siedziby Zamawiającego, za pośrednictwem Prezesa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Krajowej Izby Odwoławczej w terminie 7 dni od dnia doręczenia orzeczenia Krajowej Izby Odwoławczej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przesyłając jednocześnie jej odpis przeciwnikowi skargi. Złożenie skargi w placówce pocztowej operatora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wyznaczonego w rozumieniu ustawy z 23.11.2012 – Prawo pocztowe (Dz.U. poz. 1529) jest równoznaczne z jej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>wniesieniem.</w:t>
      </w:r>
    </w:p>
    <w:p w:rsidR="007E5936" w:rsidRDefault="007E5936" w:rsidP="007E5936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7E5936" w:rsidRDefault="007E5936" w:rsidP="007E5936">
      <w:pPr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5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7E5936" w:rsidRDefault="007E5936" w:rsidP="007E5936">
      <w:pPr>
        <w:pStyle w:val="NormalnyWeb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internetowy:</w:t>
      </w:r>
      <w:hyperlink r:id="rId16" w:tgtFrame="_blank" w:history="1">
        <w:r>
          <w:rPr>
            <w:rStyle w:val="Hipercze"/>
          </w:rPr>
          <w:t>http</w:t>
        </w:r>
        <w:proofErr w:type="spellEnd"/>
        <w:r>
          <w:rPr>
            <w:rStyle w:val="Hipercze"/>
          </w:rPr>
          <w:t>://www.uzp.gov.pl</w:t>
        </w:r>
      </w:hyperlink>
    </w:p>
    <w:p w:rsidR="007E5936" w:rsidRDefault="007E5936" w:rsidP="007E5936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7E5936" w:rsidRDefault="007E5936" w:rsidP="007E5936">
      <w:pPr>
        <w:rPr>
          <w:color w:val="000000"/>
        </w:rPr>
      </w:pPr>
      <w:r>
        <w:rPr>
          <w:color w:val="000000"/>
        </w:rPr>
        <w:t>20/06/2017</w:t>
      </w:r>
    </w:p>
    <w:p w:rsidR="00654763" w:rsidRPr="007E5936" w:rsidRDefault="00654763" w:rsidP="007E5936">
      <w:bookmarkStart w:id="0" w:name="_GoBack"/>
      <w:bookmarkEnd w:id="0"/>
    </w:p>
    <w:sectPr w:rsidR="00654763" w:rsidRPr="007E5936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67A6"/>
    <w:rsid w:val="003B05AE"/>
    <w:rsid w:val="003C4BCF"/>
    <w:rsid w:val="00465C26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e">
    <w:name w:val="date"/>
    <w:basedOn w:val="Domylnaczcionkaakapitu"/>
    <w:rsid w:val="007E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36510-2017:TEXT:PL:HTML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36510-2017:TEXT:PL:HTML" TargetMode="External"/><Relationship Id="rId12" Type="http://schemas.openxmlformats.org/officeDocument/2006/relationships/hyperlink" Target="http://www.szpital-msw.bydgoszcz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36510-2017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udl?uri=TED:NOTICE:236510-2017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36510-2017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5596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39097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2017-06-22T11:46:00Z</dcterms:created>
  <dcterms:modified xsi:type="dcterms:W3CDTF">2017-06-22T11:46:00Z</dcterms:modified>
</cp:coreProperties>
</file>