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F57B4">
        <w:rPr>
          <w:rFonts w:asciiTheme="minorHAnsi" w:hAnsiTheme="minorHAnsi"/>
          <w:b/>
          <w:sz w:val="24"/>
          <w:szCs w:val="24"/>
        </w:rPr>
        <w:t>04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7D141C">
        <w:rPr>
          <w:rFonts w:asciiTheme="minorHAnsi" w:hAnsiTheme="minorHAnsi"/>
          <w:b/>
          <w:sz w:val="24"/>
          <w:szCs w:val="24"/>
        </w:rPr>
        <w:t>7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9A0614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F57B4" w:rsidRPr="009F57B4">
        <w:rPr>
          <w:rFonts w:asciiTheme="minorHAnsi" w:hAnsiTheme="minorHAnsi"/>
          <w:b/>
          <w:sz w:val="24"/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0A6845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9F57B4">
        <w:rPr>
          <w:rFonts w:asciiTheme="minorHAnsi" w:hAnsiTheme="minorHAnsi"/>
          <w:sz w:val="24"/>
          <w:szCs w:val="24"/>
        </w:rPr>
        <w:t xml:space="preserve">Kod CPV: </w:t>
      </w:r>
      <w:r w:rsidR="009F57B4" w:rsidRPr="009F57B4">
        <w:rPr>
          <w:rFonts w:asciiTheme="minorHAnsi" w:hAnsiTheme="minorHAnsi"/>
          <w:sz w:val="24"/>
          <w:szCs w:val="24"/>
        </w:rPr>
        <w:t xml:space="preserve">33690000-3, 33622000-2, 33651100-9, 33651520-9, 33621200-1, 33692500-2, </w:t>
      </w:r>
      <w:r w:rsidR="009F57B4" w:rsidRPr="000A6845">
        <w:rPr>
          <w:rFonts w:asciiTheme="minorHAnsi" w:hAnsiTheme="minorHAnsi"/>
          <w:sz w:val="24"/>
          <w:szCs w:val="24"/>
        </w:rPr>
        <w:lastRenderedPageBreak/>
        <w:t>33692200-9, 33692510-5, 33692800-5, 33141110-4, 33141116-6, 33692600-3, 33631600-8, 33631600-7</w:t>
      </w:r>
      <w:r w:rsidRPr="000A6845">
        <w:rPr>
          <w:rFonts w:asciiTheme="minorHAnsi" w:hAnsiTheme="minorHAnsi"/>
          <w:sz w:val="24"/>
          <w:szCs w:val="24"/>
        </w:rPr>
        <w:t>.</w:t>
      </w:r>
    </w:p>
    <w:p w:rsidR="0027702A" w:rsidRPr="000A6845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0A6845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0A6845">
        <w:rPr>
          <w:rFonts w:asciiTheme="minorHAnsi" w:hAnsiTheme="minorHAnsi"/>
          <w:sz w:val="24"/>
          <w:szCs w:val="24"/>
        </w:rPr>
        <w:t xml:space="preserve">Przedmiot zamówienia obejmuje </w:t>
      </w:r>
      <w:r w:rsidR="009F57B4" w:rsidRPr="000A6845">
        <w:rPr>
          <w:rFonts w:asciiTheme="minorHAnsi" w:hAnsiTheme="minorHAnsi"/>
          <w:b/>
          <w:sz w:val="24"/>
          <w:szCs w:val="24"/>
        </w:rPr>
        <w:t>27</w:t>
      </w:r>
      <w:r w:rsidRPr="000A6845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0A6845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</w:t>
      </w:r>
      <w:r w:rsidR="00B44082">
        <w:rPr>
          <w:rFonts w:asciiTheme="minorHAnsi" w:hAnsiTheme="minorHAnsi"/>
          <w:sz w:val="24"/>
          <w:szCs w:val="24"/>
        </w:rPr>
        <w:t>czegółowe wymagania określone w </w:t>
      </w:r>
      <w:r w:rsidRPr="000A6845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 xml:space="preserve">, jak i </w:t>
      </w:r>
      <w:r w:rsidR="00B44082">
        <w:rPr>
          <w:rFonts w:asciiTheme="minorHAnsi" w:hAnsiTheme="minorHAnsi"/>
          <w:sz w:val="24"/>
          <w:szCs w:val="24"/>
        </w:rPr>
        <w:t>wymagania zawarte w 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>.</w:t>
      </w:r>
    </w:p>
    <w:p w:rsidR="00757F7B" w:rsidRPr="000A6845" w:rsidRDefault="009F57B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zm.) jak również (dotyczy pakietów 1 i 4) posiadać aktualne zezwolenie na obrót lekami psychotropowymi i środkami odurzającymi zgodne z ustawą z dnia 29 lipca 2005 roku o przeciwdziałaniu narkomanii (Dz. U. Nr 179, poz. 1485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zm.), w przypadku pakietu nr 1 poz. 105, 230, 231, 259, 260, 485, pakietu 11 poz. 28-38, pakietów 12-</w:t>
      </w:r>
      <w:r w:rsidR="00B44082">
        <w:rPr>
          <w:rFonts w:asciiTheme="minorHAnsi" w:hAnsiTheme="minorHAnsi"/>
        </w:rPr>
        <w:t>22, pakietu nr 26</w:t>
      </w:r>
      <w:r w:rsidRPr="000A6845">
        <w:rPr>
          <w:rFonts w:asciiTheme="minorHAnsi" w:hAnsiTheme="minorHAnsi"/>
        </w:rPr>
        <w:t xml:space="preserve"> poz. 3, 4; zgodne z postanowieniami ustawy z dnia 20 maja 2010 r. o wyrobach medycznych (Dz. U. z 2010 r. Nr 107 poz. 679), a w prz</w:t>
      </w:r>
      <w:r w:rsidR="00B44082">
        <w:rPr>
          <w:rFonts w:asciiTheme="minorHAnsi" w:hAnsiTheme="minorHAnsi"/>
        </w:rPr>
        <w:t>ypadku pakietu nr 1 poz. 67</w:t>
      </w:r>
      <w:r w:rsidR="000A6845" w:rsidRPr="000A6845">
        <w:rPr>
          <w:rFonts w:asciiTheme="minorHAnsi" w:hAnsiTheme="minorHAnsi"/>
        </w:rPr>
        <w:t>, 387, 406</w:t>
      </w:r>
      <w:r w:rsidRPr="000A6845">
        <w:rPr>
          <w:rFonts w:asciiTheme="minorHAnsi" w:hAnsiTheme="minorHAnsi"/>
        </w:rPr>
        <w:t>; pakietu nr 14 poz. 8, 9, 18; pakietu nr 2</w:t>
      </w:r>
      <w:r w:rsidR="00B44082">
        <w:rPr>
          <w:rFonts w:asciiTheme="minorHAnsi" w:hAnsiTheme="minorHAnsi"/>
        </w:rPr>
        <w:t>6</w:t>
      </w:r>
      <w:r w:rsidRPr="000A6845">
        <w:rPr>
          <w:rFonts w:asciiTheme="minorHAnsi" w:hAnsiTheme="minorHAnsi"/>
        </w:rPr>
        <w:t xml:space="preserve"> poz. 5,7 zgodnie z przepisami ustawy z dnia 30 marca 2001 r. o kosmetykach (Dz. U. z 2001 r. Nr 42 poz. 473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zm.).</w:t>
      </w:r>
    </w:p>
    <w:p w:rsidR="000A6845" w:rsidRPr="000A6845" w:rsidRDefault="000A6845" w:rsidP="000A6845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0A6845" w:rsidRPr="000A6845" w:rsidRDefault="000A6845" w:rsidP="000A6845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0A6845" w:rsidRPr="000A6845" w:rsidRDefault="000A6845" w:rsidP="000A6845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ofertach, w tym także do wezwania do dostarczenia nieodpłatnie próbek oferowanych produktów</w:t>
      </w:r>
      <w:r w:rsidR="008A2A86">
        <w:rPr>
          <w:rFonts w:asciiTheme="minorHAnsi" w:hAnsiTheme="minorHAnsi"/>
          <w:szCs w:val="24"/>
        </w:rPr>
        <w:t xml:space="preserve"> </w:t>
      </w:r>
      <w:r w:rsidR="008A2A86" w:rsidRPr="008A2A86">
        <w:rPr>
          <w:rFonts w:asciiTheme="minorHAnsi" w:hAnsiTheme="minorHAnsi"/>
          <w:b/>
          <w:szCs w:val="24"/>
        </w:rPr>
        <w:t>(nie dotyczy produktów leczniczych</w:t>
      </w:r>
      <w:r w:rsidR="008A2A86">
        <w:rPr>
          <w:rFonts w:asciiTheme="minorHAnsi" w:hAnsiTheme="minorHAnsi"/>
          <w:b/>
          <w:szCs w:val="24"/>
        </w:rPr>
        <w:t>)</w:t>
      </w:r>
      <w:r w:rsidRPr="008A2A86">
        <w:rPr>
          <w:rFonts w:asciiTheme="minorHAnsi" w:hAnsiTheme="minorHAnsi"/>
          <w:b/>
          <w:szCs w:val="24"/>
        </w:rPr>
        <w:t>.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 xml:space="preserve">Próbki muszą odpowiadać produktom, które będą dostarczane w trakcie realizacji umowy i muszą umożliwić Zamawiającemu ocenę spełnienia wymagań, co do przedmiotu zamówienia. 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Zamawiający wymaga, aby załączone próbki znajdowały się w oryginalnym opakowaniu lub posiadały etykietę oryginalnego opakowania i były nazwane w języku polskim.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 opakowaniu, w którym zamieszczone zostaną próbki musi znajdować się wykaz załączonych próbek zawierający informację o przypisaniu danej próbki do danej pozycji w pakiecie.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Zamawiający zastrzega, iż nie podlegają zwrotowi próbki, które z uwagi na konieczność ich przetestowania zostały zużyte w postępowaniu o udzielenie zamówienia publicznego.</w:t>
      </w:r>
    </w:p>
    <w:p w:rsidR="00ED240D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 xml:space="preserve">Wykonawca, którego oferta nie zostanie wybrana w danym pakiecie, a załączone próbki nie zostaną zużyte w toku badania i oceny oferty, po upływie miesiąca po terminie związania ofertą, ma obowiązek dokonania ich odbioru. Zwrot próbek może nastąpić staraniem Zamawiającego na koszt i ryzyko Wykonawcy na adres wskazany </w:t>
      </w:r>
      <w:r w:rsidRPr="000A6845">
        <w:rPr>
          <w:rFonts w:asciiTheme="minorHAnsi" w:hAnsiTheme="minorHAnsi"/>
          <w:sz w:val="24"/>
        </w:rPr>
        <w:lastRenderedPageBreak/>
        <w:t>w formularzu ofertowym bądź przez odbiór osobisty z siedziby Zamawiającego w Dziale Zamówień Publicznych w pok. Nr 528 przez upoważnionego przedstawiciela oferenta.</w:t>
      </w:r>
    </w:p>
    <w:p w:rsidR="00ED240D" w:rsidRPr="000A6845" w:rsidRDefault="000A6845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</w:t>
      </w:r>
      <w:r w:rsidR="00ED240D" w:rsidRPr="000A6845">
        <w:rPr>
          <w:rFonts w:asciiTheme="minorHAnsi" w:hAnsiTheme="minorHAnsi"/>
          <w:szCs w:val="24"/>
        </w:rPr>
        <w:t>.</w:t>
      </w:r>
    </w:p>
    <w:p w:rsidR="00ED240D" w:rsidRPr="000A6845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D240D" w:rsidRPr="000A6845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eastAsia="Calibri" w:hAnsiTheme="minorHAnsi"/>
          <w:szCs w:val="24"/>
          <w:lang w:eastAsia="pl-PL"/>
        </w:rPr>
        <w:t>Zamawiaj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0A6845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0A6845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cz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0A6845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0A6845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firm</w:t>
      </w:r>
      <w:r w:rsidRPr="000A6845">
        <w:rPr>
          <w:rFonts w:asciiTheme="minorHAnsi" w:hAnsiTheme="minorHAnsi"/>
          <w:szCs w:val="24"/>
        </w:rPr>
        <w:t xml:space="preserve"> </w:t>
      </w:r>
      <w:r w:rsidRPr="000A6845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7F28B7" w:rsidRPr="000A6845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0A6845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0A6845" w:rsidRPr="000A6845" w:rsidRDefault="000A6845" w:rsidP="000A6845">
      <w:pPr>
        <w:pStyle w:val="Standard"/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Wymagany termin realizacji zamówienia:</w:t>
      </w:r>
    </w:p>
    <w:p w:rsidR="000A6845" w:rsidRPr="000A6845" w:rsidRDefault="000A6845" w:rsidP="000A6845">
      <w:pPr>
        <w:pStyle w:val="Standard"/>
        <w:numPr>
          <w:ilvl w:val="0"/>
          <w:numId w:val="55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 xml:space="preserve">Pakiet nr 1-11 – sukcesywnie w terminie do 24 godzin lub 12 godzin w przypadku realizacji zamówień </w:t>
      </w:r>
      <w:r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Pr="000A6845">
        <w:rPr>
          <w:rFonts w:asciiTheme="minorHAnsi" w:hAnsiTheme="minorHAnsi"/>
          <w:sz w:val="24"/>
        </w:rPr>
        <w:t>(dotyczy leków ratujących życie)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01.09.201</w:t>
      </w:r>
      <w:r>
        <w:rPr>
          <w:rFonts w:asciiTheme="minorHAnsi" w:hAnsiTheme="minorHAnsi"/>
          <w:b/>
          <w:sz w:val="24"/>
        </w:rPr>
        <w:t>7</w:t>
      </w:r>
      <w:r w:rsidRPr="000A6845">
        <w:rPr>
          <w:rFonts w:asciiTheme="minorHAnsi" w:hAnsiTheme="minorHAnsi"/>
          <w:b/>
          <w:sz w:val="24"/>
        </w:rPr>
        <w:t>r. do 31.08.201</w:t>
      </w:r>
      <w:r>
        <w:rPr>
          <w:rFonts w:asciiTheme="minorHAnsi" w:hAnsiTheme="minorHAnsi"/>
          <w:b/>
          <w:sz w:val="24"/>
        </w:rPr>
        <w:t>8</w:t>
      </w:r>
      <w:r w:rsidRPr="000A6845">
        <w:rPr>
          <w:rFonts w:asciiTheme="minorHAnsi" w:hAnsiTheme="minorHAnsi"/>
          <w:b/>
          <w:sz w:val="24"/>
        </w:rPr>
        <w:t>r.</w:t>
      </w:r>
    </w:p>
    <w:p w:rsidR="00363B08" w:rsidRPr="000A6845" w:rsidRDefault="000A6845" w:rsidP="000A6845">
      <w:pPr>
        <w:pStyle w:val="Standard"/>
        <w:numPr>
          <w:ilvl w:val="0"/>
          <w:numId w:val="55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 xml:space="preserve">Pakiet nr </w:t>
      </w:r>
      <w:r>
        <w:rPr>
          <w:rFonts w:asciiTheme="minorHAnsi" w:hAnsiTheme="minorHAnsi"/>
          <w:sz w:val="24"/>
        </w:rPr>
        <w:t>14</w:t>
      </w:r>
      <w:r w:rsidRPr="000A6845">
        <w:rPr>
          <w:rFonts w:asciiTheme="minorHAnsi" w:hAnsiTheme="minorHAnsi"/>
          <w:sz w:val="24"/>
        </w:rPr>
        <w:t>-2</w:t>
      </w:r>
      <w:r>
        <w:rPr>
          <w:rFonts w:asciiTheme="minorHAnsi" w:hAnsiTheme="minorHAnsi"/>
          <w:sz w:val="24"/>
        </w:rPr>
        <w:t>7</w:t>
      </w:r>
      <w:r w:rsidRPr="000A6845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</w:t>
      </w:r>
      <w:r w:rsidR="00247717" w:rsidRPr="000A6845">
        <w:rPr>
          <w:rFonts w:asciiTheme="minorHAnsi" w:hAnsiTheme="minorHAnsi"/>
          <w:b/>
          <w:sz w:val="24"/>
        </w:rPr>
        <w:t>01.09.201</w:t>
      </w:r>
      <w:r w:rsidR="00247717">
        <w:rPr>
          <w:rFonts w:asciiTheme="minorHAnsi" w:hAnsiTheme="minorHAnsi"/>
          <w:b/>
          <w:sz w:val="24"/>
        </w:rPr>
        <w:t>7</w:t>
      </w:r>
      <w:r w:rsidR="00247717" w:rsidRPr="000A6845">
        <w:rPr>
          <w:rFonts w:asciiTheme="minorHAnsi" w:hAnsiTheme="minorHAnsi"/>
          <w:b/>
          <w:sz w:val="24"/>
        </w:rPr>
        <w:t>r. do 31.08.201</w:t>
      </w:r>
      <w:r w:rsidR="00247717">
        <w:rPr>
          <w:rFonts w:asciiTheme="minorHAnsi" w:hAnsiTheme="minorHAnsi"/>
          <w:b/>
          <w:sz w:val="24"/>
        </w:rPr>
        <w:t>8</w:t>
      </w:r>
      <w:r w:rsidR="00247717" w:rsidRPr="000A6845">
        <w:rPr>
          <w:rFonts w:asciiTheme="minorHAnsi" w:hAnsiTheme="minorHAnsi"/>
          <w:b/>
          <w:sz w:val="24"/>
        </w:rPr>
        <w:t>r</w:t>
      </w:r>
      <w:r w:rsidRPr="000A6845">
        <w:rPr>
          <w:rFonts w:asciiTheme="minorHAnsi" w:hAnsiTheme="minorHAnsi"/>
          <w:b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21F6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>
        <w:t>W</w:t>
      </w:r>
      <w:r w:rsidRPr="003932DA">
        <w:t xml:space="preserve">ykonawca </w:t>
      </w:r>
      <w:r>
        <w:t>spełni warunek jeżeli wykaże</w:t>
      </w:r>
      <w:r w:rsidRPr="003932DA">
        <w:t xml:space="preserve">, że </w:t>
      </w:r>
      <w:r w:rsidRPr="003932DA">
        <w:rPr>
          <w:bCs/>
          <w:color w:val="000000"/>
        </w:rPr>
        <w:t>posiada zezwolenie na obrót produktami leczniczymi (dotyczy wykonawców oferujących produkty lecznicze)</w:t>
      </w:r>
      <w:r w:rsidR="00920453" w:rsidRPr="00FD13A5">
        <w:rPr>
          <w:rFonts w:asciiTheme="minorHAnsi" w:hAnsiTheme="minorHAnsi" w:cs="Calibri"/>
        </w:rPr>
        <w:t>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color w:val="000000"/>
                <w:sz w:val="24"/>
                <w:szCs w:val="22"/>
                <w:lang w:eastAsia="pl-PL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762 000,00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color w:val="000000"/>
                <w:sz w:val="24"/>
                <w:szCs w:val="22"/>
                <w:lang w:eastAsia="pl-PL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49 500,00</w:t>
            </w:r>
          </w:p>
        </w:tc>
      </w:tr>
      <w:tr w:rsidR="000A6845" w:rsidRPr="00A9276E" w:rsidTr="00BA60F9">
        <w:trPr>
          <w:trHeight w:val="85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lastRenderedPageBreak/>
              <w:t>2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1 280,00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207 400,00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94 000,00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15 800,00</w:t>
            </w:r>
          </w:p>
        </w:tc>
      </w:tr>
      <w:tr w:rsidR="000A6845" w:rsidRPr="00A9276E" w:rsidTr="00BA60F9">
        <w:trPr>
          <w:trHeight w:val="209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84 150,00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6 500,00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36 100,00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56 000,00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18 100,00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945,00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4 400,00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36 900,00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4 400,00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35 600,00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29 100,00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10 000,00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69 500,00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15 400,00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108 300,00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10 500,00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111 000,00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13 200,00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156 100,00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13 300,00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146 500,00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0A6845" w:rsidRPr="00A9276E" w:rsidRDefault="000A6845" w:rsidP="000A684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33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F734F8">
      <w:pPr>
        <w:pStyle w:val="Akapitzlist"/>
        <w:widowControl/>
        <w:numPr>
          <w:ilvl w:val="5"/>
          <w:numId w:val="16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FB6FF9">
      <w:pPr>
        <w:pStyle w:val="Akapitzlist"/>
        <w:widowControl/>
        <w:numPr>
          <w:ilvl w:val="5"/>
          <w:numId w:val="16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FB6FF9" w:rsidRPr="00FB6FF9" w:rsidRDefault="00A06074" w:rsidP="00E411FB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>wiadczenie, musi by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FB6FF9">
        <w:rPr>
          <w:rFonts w:asciiTheme="minorHAnsi" w:eastAsia="Calibri" w:hAnsiTheme="minorHAnsi"/>
          <w:szCs w:val="24"/>
          <w:lang w:eastAsia="pl-PL"/>
        </w:rPr>
        <w:t>aktualne na dzie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FB6FF9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FB6FF9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FB6FF9">
        <w:rPr>
          <w:rFonts w:asciiTheme="minorHAnsi" w:eastAsia="Calibri" w:hAnsiTheme="minorHAnsi"/>
          <w:szCs w:val="24"/>
          <w:lang w:eastAsia="pl-PL"/>
        </w:rPr>
        <w:t>sporz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>lonego w rozporz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FB6FF9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FB6FF9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FB6FF9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FB6FF9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 do SIWZ.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0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FB6FF9" w:rsidRP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FB6FF9" w:rsidRP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lastRenderedPageBreak/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FB6FF9" w:rsidRP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BA60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przypadku wykonawców wspólnie ubiegaj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si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ę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o zamówienie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O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WIADCZENIE tj. „jednolity dokument” zobowi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zany jest doł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do oferty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ka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dy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członek konsorcjum i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ka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dy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FB6FF9" w:rsidRPr="00BA60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6A6154" w:rsidRPr="00BA60F9" w:rsidRDefault="006A6154" w:rsidP="00E411FB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BA60F9">
        <w:rPr>
          <w:rFonts w:asciiTheme="minorHAnsi" w:hAnsiTheme="minorHAnsi"/>
          <w:b/>
          <w:szCs w:val="24"/>
        </w:rPr>
        <w:t>PEŁNOMOCNICTWO:</w:t>
      </w:r>
    </w:p>
    <w:p w:rsidR="006A6154" w:rsidRPr="00BA60F9" w:rsidRDefault="00B95400" w:rsidP="00B95400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B95400" w:rsidRPr="00BA60F9" w:rsidRDefault="00B95400" w:rsidP="00E411FB">
      <w:pPr>
        <w:pStyle w:val="Akapitzlist"/>
        <w:widowControl/>
        <w:numPr>
          <w:ilvl w:val="0"/>
          <w:numId w:val="22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9703FC" w:rsidRPr="009703FC" w:rsidRDefault="009703FC" w:rsidP="009703F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703FC">
        <w:rPr>
          <w:sz w:val="24"/>
          <w:szCs w:val="24"/>
        </w:rPr>
        <w:t xml:space="preserve">Na potwierdzenie spełnienia warunku określonego w rozdziale V ust. </w:t>
      </w:r>
      <w:r>
        <w:rPr>
          <w:sz w:val="24"/>
          <w:szCs w:val="24"/>
        </w:rPr>
        <w:t>2 pkt. 1</w:t>
      </w:r>
      <w:r w:rsidRPr="009703FC">
        <w:rPr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n</w:t>
      </w:r>
      <w:r w:rsidRPr="009703FC">
        <w:rPr>
          <w:bCs/>
          <w:color w:val="000000"/>
          <w:sz w:val="24"/>
          <w:szCs w:val="24"/>
        </w:rPr>
        <w:t>ależy przedstawić jeden z dokumentów (dotyczy wykonawców oferujących produkty lecznicze):</w:t>
      </w:r>
    </w:p>
    <w:p w:rsidR="009703FC" w:rsidRDefault="009703FC" w:rsidP="009703FC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1418"/>
        <w:jc w:val="both"/>
        <w:textAlignment w:val="auto"/>
        <w:rPr>
          <w:bCs/>
          <w:color w:val="000000"/>
          <w:sz w:val="24"/>
          <w:szCs w:val="24"/>
        </w:rPr>
      </w:pPr>
      <w:r w:rsidRPr="009703FC">
        <w:rPr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9703FC">
        <w:rPr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9703FC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ab) </w:t>
      </w:r>
      <w:r w:rsidRPr="009703FC">
        <w:rPr>
          <w:bCs/>
          <w:color w:val="000000"/>
          <w:sz w:val="24"/>
          <w:szCs w:val="24"/>
        </w:rPr>
        <w:t>Kopia ważnego zezwolenia Główne</w:t>
      </w:r>
      <w:r>
        <w:rPr>
          <w:bCs/>
          <w:color w:val="000000"/>
          <w:sz w:val="24"/>
          <w:szCs w:val="24"/>
        </w:rPr>
        <w:t xml:space="preserve">go Inspektora Farmaceutycznego </w:t>
      </w:r>
      <w:r w:rsidRPr="009703FC">
        <w:rPr>
          <w:bCs/>
          <w:color w:val="000000"/>
          <w:sz w:val="24"/>
          <w:szCs w:val="24"/>
        </w:rPr>
        <w:t>na wytwarzanie, jeżeli wykonawca jest wytwórcą.</w:t>
      </w:r>
    </w:p>
    <w:p w:rsidR="009703FC" w:rsidRPr="009703FC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ac</w:t>
      </w:r>
      <w:proofErr w:type="spellEnd"/>
      <w:r>
        <w:rPr>
          <w:bCs/>
          <w:color w:val="000000"/>
          <w:sz w:val="24"/>
          <w:szCs w:val="24"/>
        </w:rPr>
        <w:t xml:space="preserve">) </w:t>
      </w:r>
      <w:r w:rsidRPr="009703FC">
        <w:rPr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9703FC">
        <w:rPr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B24FA5" w:rsidRPr="009703FC" w:rsidRDefault="00BA60F9" w:rsidP="009703F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703FC">
        <w:rPr>
          <w:rFonts w:ascii="Calibri" w:hAnsi="Calibri"/>
          <w:sz w:val="24"/>
          <w:szCs w:val="24"/>
        </w:rPr>
        <w:t xml:space="preserve">wykazu dostaw wykonanych a w przypadku świadczeń okresowych lub ciągłych również wykonywanych, </w:t>
      </w:r>
      <w:r w:rsidRPr="009703FC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9703FC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Pr="009703FC">
        <w:rPr>
          <w:rFonts w:asciiTheme="minorHAnsi" w:hAnsiTheme="minorHAnsi"/>
          <w:sz w:val="24"/>
          <w:szCs w:val="24"/>
        </w:rPr>
        <w:t>min. jedną dostawę odpowiadającą swoim rodzajem, dostawie stanowiącej przedmiot zamówienia w niniejszym postępowaniu</w:t>
      </w:r>
      <w:r w:rsidR="002D4B2C" w:rsidRPr="009703FC">
        <w:rPr>
          <w:rFonts w:asciiTheme="minorHAnsi" w:hAnsiTheme="minorHAnsi"/>
          <w:sz w:val="24"/>
          <w:szCs w:val="24"/>
        </w:rPr>
        <w:t xml:space="preserve"> o wartości określonej w rozdziale V ust. 2 pkt. 3</w:t>
      </w:r>
      <w:r w:rsidRP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9703FC">
        <w:rPr>
          <w:rFonts w:asciiTheme="minorHAnsi" w:hAnsiTheme="minorHAnsi"/>
          <w:sz w:val="24"/>
          <w:szCs w:val="24"/>
        </w:rPr>
        <w:t>wraz</w:t>
      </w:r>
      <w:r w:rsidRPr="009703FC">
        <w:rPr>
          <w:rFonts w:asciiTheme="minorHAnsi" w:hAnsiTheme="minorHAnsi" w:cs="Arial"/>
          <w:sz w:val="24"/>
          <w:szCs w:val="24"/>
        </w:rPr>
        <w:t xml:space="preserve"> z </w:t>
      </w:r>
      <w:r w:rsidRPr="009703FC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9703FC">
        <w:rPr>
          <w:rFonts w:asciiTheme="minorHAnsi" w:hAnsiTheme="minorHAnsi"/>
          <w:b/>
          <w:sz w:val="24"/>
          <w:szCs w:val="24"/>
        </w:rPr>
        <w:t>załącznikiem nr 4 do SIWZ</w:t>
      </w:r>
      <w:r w:rsidRPr="009703FC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9703FC">
        <w:rPr>
          <w:rFonts w:asciiTheme="minorHAnsi" w:hAnsiTheme="minorHAnsi" w:cs="Arial"/>
          <w:sz w:val="24"/>
          <w:szCs w:val="24"/>
        </w:rPr>
        <w:t>określających czy te dostawy zostały wykonane lub są wykonywane należycie, przy czym dowodami, o których mowa, są referencje bądź inne dokumenty wystawione przez podmiot, na rzecz którego dostawy były wykonywane w przypadku świadczeń okresowych lub ciągłych</w:t>
      </w:r>
      <w:r w:rsidRPr="009703FC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</w:t>
      </w:r>
      <w:r w:rsidRPr="009703FC">
        <w:rPr>
          <w:rFonts w:ascii="Calibri" w:hAnsi="Calibri" w:cs="Arial"/>
          <w:sz w:val="24"/>
          <w:szCs w:val="24"/>
        </w:rPr>
        <w:lastRenderedPageBreak/>
        <w:t>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E411FB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>o posiadaniu atestów i świadectw rejestracji dotyczących przedmiotu zamówienia objętego niniejszą specyfikacją istotnych 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hAnsiTheme="minorHAnsi"/>
          <w:b/>
          <w:szCs w:val="24"/>
        </w:rPr>
        <w:t xml:space="preserve">4. </w:t>
      </w: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oza terytorium Rzeczypospolitej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Polskiej, zamiast dokumentów, o których mowa w ust. 2 pkt.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2 lit. 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dokumentów, o których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wykonawcy, ze wskazaniem osoby albo osób uprawnio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nych do jego reprezentacji,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one przed notariuszem lub przed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miejsce zamieszkania wykonawcy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eczypospolitej Polskiej, której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 dokument wskazany w ust. 2 pkt.2) lit. a) składa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dokument, o którym mowa w ust.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którym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takich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tej osoby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dowym, administracyjnym albo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du na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2901F2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,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kania ma osoba, której dokument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730C9C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730C9C" w:rsidRPr="00363B08" w:rsidRDefault="00730C9C" w:rsidP="00730C9C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 xml:space="preserve">gwarantuje rzeczywisty dostęp do ich zasobów, Zamawiający może żądać dokumentów, które określają w szczególności: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tu przy wykonywaniu zamówienia.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ust. 1 pkt. 13-22 i ustawy.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Jeżeli zdolności techniczne lub zawodowe podmiotu, o którym mowa w pkt. 1, nie potwierdzają spełnienia przez Wykonawcę warunków udziału w postępowaniu lub zachodzą wobec tych podmiotów podstawy wykluczenia, Zamawiający żąda, aby 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w terminie określonym przez Zamawiającego: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700837" w:rsidRPr="00363B08" w:rsidRDefault="00700837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rozdziale VI ust. 1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zentowania ich w postępowaniu o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udzielenie zamówienia albo reprezentowania w 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postępowaniu i zawarcia umowy w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przez wykonawców oświadczenie o przynależności lub braku przynależności do tej samej grupy kapitałowej, o którym mowa w rozdziale VI ust. 3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lastRenderedPageBreak/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Pr="003E2D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zawiadomienia oraz informacje Zamawiający i Wykonawcy przekazują pisemnie. Oferty muszą zostać złożone na piśmie pod rygorem nieważności.</w:t>
      </w:r>
    </w:p>
    <w:p w:rsidR="00404C3D" w:rsidRPr="003E2D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 w:rsidRPr="003E2D72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3E2D7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3E2D7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3E2D72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Pr="003E2D72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 w wyznaczonym terminie oferty o brakujące dokumenty w przypadku przekazania tych dokumentów wyłącznie drogą elektroniczną lub faksową. Uzupełniane dokumenty muszą zostać przekazane w formie pisemnej (oryginał lub kserokopia poświadczona za zgodność z oryginałem zgodnie ze wskazaniem na wezwaniu do uzupełnienia) do Zamawiającego w wyznaczonym terminie.</w:t>
      </w:r>
    </w:p>
    <w:p w:rsidR="00F97749" w:rsidRPr="003E2D72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Pr="003E2D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3E2D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cym załącznik nr </w:t>
      </w:r>
      <w:r w:rsidR="004C101B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1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3E2D72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 w:rsidRPr="003E2D72">
        <w:rPr>
          <w:rFonts w:asciiTheme="minorHAnsi" w:eastAsia="Calibri" w:hAnsiTheme="minorHAnsi" w:cs="TimesNewRomanPSMT"/>
          <w:szCs w:val="24"/>
          <w:lang w:eastAsia="pl-PL"/>
        </w:rPr>
        <w:t>łną o</w:t>
      </w:r>
      <w:r w:rsidR="00E705B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 poczty Wykonawca ponosi wszelkie wynikające z tego skutki. Zamawiający nie wymaga potwierdzenia otrzymania przekazywanego pisma drogą elektroniczną.</w:t>
      </w:r>
    </w:p>
    <w:p w:rsidR="002E47D9" w:rsidRPr="003E2D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 Zamawiającego, Wykonawca ponosi odpowiedzialność za sprawdzenie kompletności i czytelności otrzymania przesłanego pisma. Brak kompletności lub czytelności Wykonawca niezwłocznie zgłasza Zamawiającemu telefonicznie na nr 52 / 58-26-252. Za dowód skutecznego przesłania pisma do Wykonawcy drogą faksową Zamawiający uznaje potwierdzenie przesłania faksowego „OK” na numer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3E2D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elektronicznej wskazany na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formularzu ofertowym zgodnie z zasadami wskazanymi w niniejszym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3E2D72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526EFF"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 w:rsidRPr="003E2D72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color w:val="000000"/>
                <w:sz w:val="24"/>
                <w:szCs w:val="22"/>
                <w:lang w:eastAsia="pl-PL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21 700,00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1" w:hAnsi="Arial1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1 410,00</w:t>
            </w:r>
          </w:p>
        </w:tc>
      </w:tr>
      <w:tr w:rsidR="009703FC" w:rsidRPr="00925E3C" w:rsidTr="00F61B68">
        <w:trPr>
          <w:trHeight w:val="85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36,00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5 920,00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2 600,00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450,00</w:t>
            </w:r>
          </w:p>
        </w:tc>
      </w:tr>
      <w:tr w:rsidR="009703FC" w:rsidRPr="00925E3C" w:rsidTr="00F61B68">
        <w:trPr>
          <w:trHeight w:val="209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2 400,00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1 030,00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1 600,00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520,00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27,00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12,00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1 050,00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125,00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1 020,00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830,00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280,00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1 980,00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440,00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3 100,00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300,00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3 170,00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380,00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4 460,00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380,00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4 180,00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9703FC" w:rsidRPr="00925E3C" w:rsidRDefault="009703FC" w:rsidP="009703F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0978E2" w:rsidRPr="00925E3C" w:rsidRDefault="000978E2" w:rsidP="00E411FB">
      <w:pPr>
        <w:numPr>
          <w:ilvl w:val="0"/>
          <w:numId w:val="41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925E3C" w:rsidRPr="00925E3C" w:rsidRDefault="000978E2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0978E2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lastRenderedPageBreak/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925E3C">
        <w:rPr>
          <w:rFonts w:asciiTheme="minorHAnsi" w:hAnsiTheme="minorHAnsi"/>
          <w:b w:val="0"/>
          <w:bCs/>
        </w:rPr>
        <w:t>Do oferty należy dołączyć:</w:t>
      </w:r>
    </w:p>
    <w:p w:rsidR="00925E3C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szCs w:val="24"/>
          <w:lang w:eastAsia="pl-PL"/>
        </w:rPr>
        <w:t>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wiadczenie, o którym mowa w rozdz. VI ust. 1 pkt 1 (jednolity dokument). 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wiadczenie musi by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 xml:space="preserve">ć 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zło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ż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one w formie pisemnej (oryginał).</w:t>
      </w:r>
    </w:p>
    <w:p w:rsidR="00D501EA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szCs w:val="24"/>
          <w:lang w:eastAsia="pl-PL"/>
        </w:rPr>
        <w:t>Pełnomocnictwo, o którym mowa w rozdz. VI ust. 1 pkt 2, zło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ż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one w formie pisemnej (oryginał lub kopia po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wiadczona za zgodno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 xml:space="preserve">ść 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z oryginałem przez notariusza</w:t>
      </w:r>
      <w:r w:rsidRPr="00925E3C">
        <w:rPr>
          <w:rFonts w:asciiTheme="minorHAnsi" w:hAnsiTheme="minorHAnsi"/>
          <w:b w:val="0"/>
          <w:bCs/>
          <w:szCs w:val="24"/>
        </w:rPr>
        <w:t>).</w:t>
      </w:r>
    </w:p>
    <w:p w:rsidR="00925E3C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bCs/>
          <w:color w:val="000000"/>
          <w:szCs w:val="24"/>
          <w:lang w:eastAsia="pl-PL"/>
        </w:rPr>
        <w:t xml:space="preserve">Zobowiązanie, </w:t>
      </w:r>
      <w:r w:rsidRPr="00925E3C">
        <w:rPr>
          <w:rFonts w:asciiTheme="minorHAnsi" w:eastAsia="Calibri" w:hAnsiTheme="minorHAnsi"/>
          <w:b w:val="0"/>
          <w:color w:val="000000"/>
          <w:szCs w:val="24"/>
          <w:lang w:eastAsia="pl-PL"/>
        </w:rPr>
        <w:t xml:space="preserve">o którym mowa w rozdz. VI ust. 1 pkt. 3). Zobowiązanie musi być złożone w formie pisemnej (oryginał) </w:t>
      </w:r>
      <w:r w:rsidRPr="00925E3C">
        <w:rPr>
          <w:rFonts w:asciiTheme="minorHAnsi" w:eastAsia="Calibri" w:hAnsiTheme="minorHAnsi"/>
          <w:b w:val="0"/>
          <w:i/>
          <w:iCs/>
          <w:color w:val="000000"/>
          <w:szCs w:val="24"/>
          <w:lang w:eastAsia="pl-PL"/>
        </w:rPr>
        <w:t>(jeżeli dotyczy).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 w:rsidR="00925E3C"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dostawę </w:t>
      </w:r>
      <w:r w:rsidR="00633AA9" w:rsidRPr="00633AA9">
        <w:rPr>
          <w:rFonts w:asciiTheme="minorHAnsi" w:hAnsiTheme="minorHAnsi"/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633AA9" w:rsidRPr="009F57B4">
        <w:rPr>
          <w:rFonts w:asciiTheme="minorHAnsi" w:hAnsiTheme="minorHAnsi"/>
          <w:b w:val="0"/>
          <w:szCs w:val="24"/>
        </w:rPr>
        <w:t>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4C101B" w:rsidRPr="00675195">
        <w:rPr>
          <w:rFonts w:asciiTheme="minorHAnsi" w:hAnsiTheme="minorHAnsi"/>
          <w:szCs w:val="24"/>
        </w:rPr>
        <w:t xml:space="preserve"> – 0</w:t>
      </w:r>
      <w:r w:rsidR="00633AA9">
        <w:rPr>
          <w:rFonts w:asciiTheme="minorHAnsi" w:hAnsiTheme="minorHAnsi"/>
          <w:szCs w:val="24"/>
        </w:rPr>
        <w:t>4</w:t>
      </w:r>
      <w:r w:rsidR="004C101B" w:rsidRPr="00675195">
        <w:rPr>
          <w:rFonts w:asciiTheme="minorHAnsi" w:hAnsiTheme="minorHAnsi"/>
          <w:szCs w:val="24"/>
        </w:rPr>
        <w:t>/2017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6A1E9A">
        <w:rPr>
          <w:rFonts w:asciiTheme="minorHAnsi" w:hAnsiTheme="minorHAnsi"/>
          <w:b w:val="0"/>
          <w:szCs w:val="24"/>
        </w:rPr>
        <w:t>iem  04</w:t>
      </w:r>
      <w:r w:rsidR="00233EC4">
        <w:rPr>
          <w:rFonts w:asciiTheme="minorHAnsi" w:hAnsiTheme="minorHAnsi"/>
          <w:b w:val="0"/>
          <w:szCs w:val="24"/>
        </w:rPr>
        <w:t>.0</w:t>
      </w:r>
      <w:r w:rsidR="006A1E9A">
        <w:rPr>
          <w:rFonts w:asciiTheme="minorHAnsi" w:hAnsiTheme="minorHAnsi"/>
          <w:b w:val="0"/>
          <w:szCs w:val="24"/>
        </w:rPr>
        <w:t>8</w:t>
      </w:r>
      <w:r w:rsidR="00F25F06">
        <w:rPr>
          <w:rFonts w:asciiTheme="minorHAnsi" w:hAnsiTheme="minorHAnsi"/>
          <w:b w:val="0"/>
          <w:szCs w:val="24"/>
        </w:rPr>
        <w:t>.201</w:t>
      </w:r>
      <w:r w:rsidR="00233EC4">
        <w:rPr>
          <w:rFonts w:asciiTheme="minorHAnsi" w:hAnsiTheme="minorHAnsi"/>
          <w:b w:val="0"/>
          <w:szCs w:val="24"/>
        </w:rPr>
        <w:t>7</w:t>
      </w:r>
      <w:r w:rsidR="006A1E9A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6A1E9A">
        <w:rPr>
          <w:rFonts w:asciiTheme="minorHAnsi" w:hAnsiTheme="minorHAnsi"/>
          <w:b/>
          <w:szCs w:val="24"/>
        </w:rPr>
        <w:t>04</w:t>
      </w:r>
      <w:r w:rsidRPr="00AB5255">
        <w:rPr>
          <w:rFonts w:asciiTheme="minorHAnsi" w:hAnsiTheme="minorHAnsi"/>
          <w:b/>
          <w:szCs w:val="24"/>
        </w:rPr>
        <w:t>.</w:t>
      </w:r>
      <w:r w:rsidR="006A1E9A">
        <w:rPr>
          <w:rFonts w:asciiTheme="minorHAnsi" w:hAnsiTheme="minorHAnsi"/>
          <w:b/>
          <w:szCs w:val="24"/>
        </w:rPr>
        <w:t>08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6A1E9A">
        <w:rPr>
          <w:rFonts w:asciiTheme="minorHAnsi" w:hAnsiTheme="minorHAnsi"/>
          <w:b/>
          <w:szCs w:val="24"/>
        </w:rPr>
        <w:t>04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633AA9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</w:t>
      </w:r>
      <w:r w:rsidR="004C101B">
        <w:rPr>
          <w:rFonts w:asciiTheme="minorHAnsi" w:hAnsiTheme="minorHAnsi"/>
          <w:b/>
        </w:rPr>
        <w:t>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 xml:space="preserve">termin </w:t>
      </w:r>
      <w:r w:rsidR="00633AA9">
        <w:rPr>
          <w:rFonts w:asciiTheme="minorHAnsi" w:hAnsiTheme="minorHAnsi"/>
          <w:b/>
          <w:sz w:val="24"/>
        </w:rPr>
        <w:t>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B44082">
        <w:rPr>
          <w:rFonts w:asciiTheme="minorHAnsi" w:hAnsiTheme="minorHAnsi"/>
          <w:sz w:val="24"/>
        </w:rPr>
        <w:t>Oferta z najkrótszym</w:t>
      </w:r>
      <w:r w:rsidR="00B44082" w:rsidRPr="00E25A11">
        <w:rPr>
          <w:rFonts w:asciiTheme="minorHAnsi" w:hAnsiTheme="minorHAnsi"/>
          <w:sz w:val="24"/>
        </w:rPr>
        <w:t xml:space="preserve"> </w:t>
      </w:r>
      <w:r w:rsidR="00B44082">
        <w:rPr>
          <w:rFonts w:asciiTheme="minorHAnsi" w:hAnsiTheme="minorHAnsi"/>
          <w:sz w:val="24"/>
        </w:rPr>
        <w:t>czasem załatwienia reklamacji</w:t>
      </w:r>
      <w:r w:rsidR="00B44082"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="00B44082" w:rsidRPr="00B44082">
        <w:rPr>
          <w:rFonts w:asciiTheme="minorHAnsi" w:hAnsiTheme="minorHAnsi"/>
          <w:sz w:val="24"/>
        </w:rPr>
        <w:t>Oferto</w:t>
      </w:r>
      <w:r w:rsidR="00B44082"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B44082" w:rsidRPr="00E25A11" w:rsidRDefault="00B44082" w:rsidP="00B4408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:rsidR="00B44082" w:rsidRPr="00E25A11" w:rsidRDefault="00B44082" w:rsidP="00B4408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:rsidR="00B44082" w:rsidRPr="00E25A11" w:rsidRDefault="00B44082" w:rsidP="00B4408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:rsidR="00B44082" w:rsidRDefault="00B44082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="00B44082">
        <w:rPr>
          <w:rFonts w:asciiTheme="minorHAnsi" w:hAnsiTheme="minorHAnsi"/>
          <w:b/>
          <w:sz w:val="24"/>
        </w:rPr>
        <w:t xml:space="preserve"> oraz termin nie może być dłuższy niż 10 dni roboczych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lastRenderedPageBreak/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B44082">
        <w:rPr>
          <w:rFonts w:asciiTheme="minorHAnsi" w:hAnsiTheme="minorHAnsi"/>
          <w:sz w:val="24"/>
        </w:rPr>
        <w:t xml:space="preserve"> R</w:t>
      </w:r>
      <w:r w:rsidR="00203887"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B44082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załatwienia reklamacji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B44082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dzialfarmacji@szpitalmsw.bydgoszcz.pl</w:t>
      </w:r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lastRenderedPageBreak/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CB3ACC" w:rsidRPr="00F97749" w:rsidRDefault="00633AA9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 Mazurkiewicz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633AA9">
        <w:rPr>
          <w:rFonts w:asciiTheme="minorHAnsi" w:hAnsiTheme="minorHAnsi"/>
          <w:sz w:val="24"/>
        </w:rPr>
        <w:t>goszcz, dn. 20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BE49C9">
        <w:rPr>
          <w:rFonts w:asciiTheme="minorHAnsi" w:hAnsiTheme="minorHAnsi"/>
          <w:sz w:val="24"/>
        </w:rPr>
        <w:t>7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633AA9">
        <w:rPr>
          <w:b/>
          <w:bCs/>
          <w:sz w:val="22"/>
          <w:szCs w:val="22"/>
        </w:rPr>
        <w:t>ZATWIERDZAM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Z-ca Dyrektora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 xml:space="preserve">ds. </w:t>
      </w:r>
      <w:proofErr w:type="spellStart"/>
      <w:r w:rsidRPr="00633AA9">
        <w:rPr>
          <w:sz w:val="22"/>
          <w:szCs w:val="22"/>
        </w:rPr>
        <w:t>Ekonomiczno</w:t>
      </w:r>
      <w:proofErr w:type="spellEnd"/>
      <w:r w:rsidRPr="00633AA9">
        <w:rPr>
          <w:sz w:val="22"/>
          <w:szCs w:val="22"/>
        </w:rPr>
        <w:t xml:space="preserve"> – Administracyjnych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Główny Księgowy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 mgr Mirosława Cieślak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633AA9">
        <w:rPr>
          <w:rFonts w:asciiTheme="minorHAnsi" w:hAnsiTheme="minorHAnsi"/>
          <w:szCs w:val="24"/>
        </w:rPr>
        <w:t>4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11261B">
        <w:rPr>
          <w:rFonts w:asciiTheme="minorHAnsi" w:hAnsiTheme="minorHAnsi"/>
          <w:sz w:val="24"/>
        </w:rPr>
        <w:t xml:space="preserve"> 22</w:t>
      </w:r>
      <w:r w:rsidRPr="00072704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Pr="00072704">
        <w:rPr>
          <w:rFonts w:asciiTheme="minorHAnsi" w:hAnsiTheme="minorHAnsi"/>
          <w:sz w:val="24"/>
        </w:rPr>
        <w:t xml:space="preserve"> 201</w:t>
      </w:r>
      <w:r w:rsidR="00084C23">
        <w:rPr>
          <w:rFonts w:asciiTheme="minorHAnsi" w:hAnsiTheme="minorHAnsi"/>
          <w:sz w:val="24"/>
        </w:rPr>
        <w:t>7</w:t>
      </w:r>
      <w:r w:rsidRPr="00072704">
        <w:rPr>
          <w:rFonts w:asciiTheme="minorHAnsi" w:hAnsiTheme="minorHAnsi"/>
          <w:sz w:val="24"/>
        </w:rPr>
        <w:t xml:space="preserve"> r. w Dzienniku Urzędowym Unii Europejskiej pod nr </w:t>
      </w:r>
      <w:r w:rsidR="0011261B">
        <w:rPr>
          <w:rFonts w:asciiTheme="minorHAnsi" w:hAnsiTheme="minorHAnsi"/>
          <w:sz w:val="24"/>
        </w:rPr>
        <w:t>2017/S 118-236510</w:t>
      </w:r>
      <w:r w:rsidRPr="00072704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633AA9" w:rsidRPr="009F57B4">
        <w:rPr>
          <w:rFonts w:asciiTheme="minorHAnsi" w:hAnsiTheme="minorHAnsi"/>
          <w:b/>
          <w:sz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Pr="00072704">
        <w:rPr>
          <w:rFonts w:asciiTheme="minorHAnsi" w:hAnsiTheme="minorHAnsi"/>
          <w:sz w:val="24"/>
        </w:rPr>
        <w:t>– nr postępowania 0</w:t>
      </w:r>
      <w:r w:rsidR="00686203">
        <w:rPr>
          <w:rFonts w:asciiTheme="minorHAnsi" w:hAnsiTheme="minorHAnsi"/>
          <w:sz w:val="24"/>
        </w:rPr>
        <w:t>4</w:t>
      </w:r>
      <w:r w:rsidRPr="00072704">
        <w:rPr>
          <w:rFonts w:asciiTheme="minorHAnsi" w:hAnsiTheme="minorHAnsi"/>
          <w:sz w:val="24"/>
        </w:rPr>
        <w:t>/201</w:t>
      </w:r>
      <w:r>
        <w:rPr>
          <w:rFonts w:asciiTheme="minorHAnsi" w:hAnsiTheme="minorHAnsi"/>
          <w:sz w:val="24"/>
        </w:rPr>
        <w:t>7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11261B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 xml:space="preserve">Termin </w:t>
      </w:r>
      <w:r w:rsidR="00686203" w:rsidRPr="0011261B">
        <w:rPr>
          <w:rFonts w:asciiTheme="minorHAnsi" w:hAnsiTheme="minorHAnsi"/>
          <w:b/>
        </w:rPr>
        <w:t>załatwienia reklamacji</w:t>
      </w:r>
      <w:r w:rsidR="00D0110A" w:rsidRPr="0011261B">
        <w:rPr>
          <w:rFonts w:asciiTheme="minorHAnsi" w:hAnsiTheme="minorHAnsi" w:cs="Times New Roman"/>
        </w:rPr>
        <w:t xml:space="preserve">: </w:t>
      </w:r>
      <w:r w:rsidR="00D0110A" w:rsidRPr="0011261B">
        <w:rPr>
          <w:rFonts w:asciiTheme="minorHAnsi" w:hAnsiTheme="minorHAnsi" w:cs="Times New Roman"/>
          <w:b/>
        </w:rPr>
        <w:t>………………….</w:t>
      </w:r>
      <w:r w:rsidRPr="0011261B">
        <w:rPr>
          <w:rFonts w:asciiTheme="minorHAnsi" w:hAnsiTheme="minorHAnsi" w:cs="Times New Roman"/>
          <w:b/>
        </w:rPr>
        <w:t xml:space="preserve"> Dni roboczych</w:t>
      </w:r>
      <w:r w:rsidR="00D0110A" w:rsidRPr="0011261B">
        <w:rPr>
          <w:rFonts w:asciiTheme="minorHAnsi" w:hAnsiTheme="minorHAnsi" w:cs="Times New Roman"/>
          <w:b/>
        </w:rPr>
        <w:t>.</w:t>
      </w:r>
    </w:p>
    <w:p w:rsidR="00D0110A" w:rsidRPr="0011261B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11261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</w:t>
      </w:r>
      <w:r w:rsidR="0011261B" w:rsidRPr="0011261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  <w:r w:rsidRPr="0011261B">
        <w:rPr>
          <w:rFonts w:asciiTheme="minorHAnsi" w:hAnsiTheme="minorHAnsi"/>
          <w:b/>
          <w:sz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nie może być krótszy niż 30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lastRenderedPageBreak/>
        <w:t>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29782C" w:rsidRPr="0029782C" w:rsidRDefault="0029782C" w:rsidP="00E411FB">
      <w:pPr>
        <w:pStyle w:val="Akapitzlist"/>
        <w:widowControl/>
        <w:numPr>
          <w:ilvl w:val="1"/>
          <w:numId w:val="43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  <w:r w:rsidRPr="0029782C">
        <w:rPr>
          <w:rFonts w:ascii="Calibri" w:hAnsi="Calibri" w:cs="Arial"/>
          <w:sz w:val="22"/>
          <w:szCs w:val="22"/>
        </w:rPr>
        <w:t>zapoznaliśmy się z warunkami przeprowadzanego postępowania i nie wnosimy do nich zastrzeżeń oraz posiadamy wszystkie niezbędne informacje do przygotowania oferty,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cena oferty zawiera wszystkie koszty niezbędne do wykonania zamówienia,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uważamy się za związanych niniejszą ofertą przez okres 60 dni od upływu terminu składania ofert,</w:t>
      </w:r>
    </w:p>
    <w:p w:rsidR="0029782C" w:rsidRPr="00686203" w:rsidRDefault="0029782C" w:rsidP="00E411FB">
      <w:pPr>
        <w:widowControl/>
        <w:numPr>
          <w:ilvl w:val="1"/>
          <w:numId w:val="43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 xml:space="preserve">akceptujemy </w:t>
      </w:r>
      <w:r w:rsidRPr="00686203">
        <w:rPr>
          <w:rFonts w:asciiTheme="minorHAnsi" w:hAnsiTheme="minorHAnsi" w:cs="Arial"/>
          <w:sz w:val="22"/>
          <w:szCs w:val="22"/>
        </w:rPr>
        <w:t>główne postanowienia umowy nie wnosząc uwag i zastrzeżeń, a w przypadku wyboru naszej oferty zobowiązujemy się do jej/ich zawarcia w stosownych terminach,</w:t>
      </w:r>
    </w:p>
    <w:p w:rsidR="0029782C" w:rsidRPr="00686203" w:rsidRDefault="00686203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686203">
        <w:rPr>
          <w:rFonts w:asciiTheme="minorHAnsi" w:hAnsiTheme="minorHAnsi"/>
          <w:sz w:val="22"/>
          <w:szCs w:val="22"/>
        </w:rPr>
        <w:t>produkty w chwili dostawy będą posiały trwałość materiałowo - użytkową nie krótszą niż 12 miesięcy licząc od dnia dostawy</w:t>
      </w:r>
      <w:r w:rsidR="0029782C" w:rsidRPr="00686203">
        <w:rPr>
          <w:rFonts w:asciiTheme="minorHAnsi" w:hAnsiTheme="minorHAnsi" w:cs="Arial"/>
          <w:sz w:val="22"/>
          <w:szCs w:val="22"/>
        </w:rPr>
        <w:t>,</w:t>
      </w:r>
    </w:p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>dowód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686203">
        <w:rPr>
          <w:rFonts w:asciiTheme="minorHAnsi" w:hAnsiTheme="minorHAnsi"/>
          <w:szCs w:val="24"/>
        </w:rPr>
        <w:t>4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473FAC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686203">
        <w:rPr>
          <w:rFonts w:asciiTheme="minorHAnsi" w:hAnsiTheme="minorHAnsi"/>
          <w:szCs w:val="24"/>
        </w:rPr>
        <w:t>4</w:t>
      </w:r>
      <w:r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18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</w:t>
      </w:r>
      <w:r w:rsidR="00686203">
        <w:rPr>
          <w:rFonts w:asciiTheme="minorHAnsi" w:hAnsiTheme="minorHAnsi"/>
          <w:szCs w:val="24"/>
        </w:rPr>
        <w:t>4</w:t>
      </w:r>
      <w:r w:rsidRPr="007A14E8">
        <w:rPr>
          <w:rFonts w:asciiTheme="minorHAnsi" w:hAnsiTheme="minorHAnsi"/>
          <w:szCs w:val="24"/>
        </w:rPr>
        <w:t>/201</w:t>
      </w:r>
      <w:r w:rsidR="00AA54E5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2017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473FAC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</w:t>
      </w:r>
      <w:r w:rsidRPr="00686203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68620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686203" w:rsidRPr="00686203">
        <w:rPr>
          <w:rFonts w:asciiTheme="minorHAnsi" w:hAnsiTheme="minorHAnsi"/>
          <w:b/>
          <w:sz w:val="22"/>
          <w:szCs w:val="22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686203">
        <w:rPr>
          <w:rFonts w:asciiTheme="minorHAnsi" w:hAnsiTheme="minorHAnsi"/>
          <w:sz w:val="22"/>
          <w:szCs w:val="22"/>
        </w:rPr>
        <w:t xml:space="preserve"> (0</w:t>
      </w:r>
      <w:r w:rsidR="00686203">
        <w:rPr>
          <w:rFonts w:asciiTheme="minorHAnsi" w:hAnsiTheme="minorHAnsi"/>
          <w:sz w:val="22"/>
          <w:szCs w:val="22"/>
        </w:rPr>
        <w:t>4</w:t>
      </w:r>
      <w:r w:rsidRPr="00686203">
        <w:rPr>
          <w:rFonts w:asciiTheme="minorHAnsi" w:hAnsiTheme="minorHAnsi"/>
          <w:sz w:val="22"/>
          <w:szCs w:val="22"/>
        </w:rPr>
        <w:t>/2017) w trybie przetargu nieograniczonego, na podstawie art. 39 ustawy z dnia 29/01/20</w:t>
      </w:r>
      <w:r w:rsidR="00686203">
        <w:rPr>
          <w:rFonts w:asciiTheme="minorHAnsi" w:hAnsiTheme="minorHAnsi"/>
          <w:sz w:val="22"/>
          <w:szCs w:val="22"/>
        </w:rPr>
        <w:t>04r Prawo Zamówień Publicznych</w:t>
      </w:r>
      <w:r w:rsidRPr="00686203">
        <w:rPr>
          <w:rFonts w:asciiTheme="minorHAnsi" w:hAnsiTheme="minorHAnsi"/>
          <w:sz w:val="22"/>
          <w:szCs w:val="22"/>
        </w:rPr>
        <w:t>, Strony</w:t>
      </w:r>
      <w:r w:rsidRPr="00473FAC">
        <w:rPr>
          <w:rFonts w:asciiTheme="minorHAnsi" w:hAnsiTheme="minorHAnsi"/>
          <w:sz w:val="22"/>
          <w:szCs w:val="22"/>
        </w:rPr>
        <w:t xml:space="preserve"> zawierają umowę następującej treści:</w:t>
      </w: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686203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 </w:t>
      </w:r>
      <w:r>
        <w:rPr>
          <w:sz w:val="22"/>
          <w:szCs w:val="22"/>
        </w:rPr>
        <w:t xml:space="preserve">48 godzin </w:t>
      </w:r>
      <w:r w:rsidRPr="006F6B4D">
        <w:rPr>
          <w:sz w:val="22"/>
          <w:szCs w:val="22"/>
        </w:rPr>
        <w:t>od złożenia zamówienia</w:t>
      </w:r>
      <w:r>
        <w:rPr>
          <w:sz w:val="22"/>
          <w:szCs w:val="22"/>
        </w:rPr>
        <w:t xml:space="preserve"> w przypadku pakietów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686203" w:rsidRPr="00473FAC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lastRenderedPageBreak/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473FAC" w:rsidRPr="00473FAC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 w:rsidR="00686203"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</w:t>
      </w:r>
      <w:r w:rsidR="00686203"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DC4311" w:rsidRPr="00DC4311" w:rsidRDefault="00DC4311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 w:rsidR="00DC4311"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14" w:rsidRDefault="009A0614">
      <w:r>
        <w:separator/>
      </w:r>
    </w:p>
  </w:endnote>
  <w:endnote w:type="continuationSeparator" w:id="0">
    <w:p w:rsidR="009A0614" w:rsidRDefault="009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A" w:rsidRDefault="002D795A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A1E9A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A1E9A">
      <w:rPr>
        <w:b/>
        <w:noProof/>
      </w:rPr>
      <w:t>25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A" w:rsidRDefault="002D795A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A1E9A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A1E9A">
      <w:rPr>
        <w:b/>
        <w:noProof/>
      </w:rPr>
      <w:t>25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A" w:rsidRPr="00FF06CF" w:rsidRDefault="002D795A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A" w:rsidRPr="00686203" w:rsidRDefault="002D795A" w:rsidP="007A14E8">
    <w:pPr>
      <w:pStyle w:val="Stopka"/>
      <w:jc w:val="right"/>
      <w:rPr>
        <w:rFonts w:asciiTheme="minorHAnsi" w:hAnsiTheme="minorHAnsi" w:cs="Tahoma"/>
      </w:rPr>
    </w:pPr>
    <w:r w:rsidRPr="00686203">
      <w:rPr>
        <w:rFonts w:asciiTheme="minorHAnsi" w:hAnsiTheme="minorHAnsi" w:cs="Tahoma"/>
      </w:rPr>
      <w:t xml:space="preserve">Strona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PAGE </w:instrText>
    </w:r>
    <w:r w:rsidRPr="00686203">
      <w:rPr>
        <w:rFonts w:asciiTheme="minorHAnsi" w:hAnsiTheme="minorHAnsi" w:cs="Tahoma"/>
      </w:rPr>
      <w:fldChar w:fldCharType="separate"/>
    </w:r>
    <w:r w:rsidR="006A1E9A">
      <w:rPr>
        <w:rFonts w:asciiTheme="minorHAnsi" w:hAnsiTheme="minorHAnsi" w:cs="Tahoma"/>
        <w:noProof/>
      </w:rPr>
      <w:t>21</w:t>
    </w:r>
    <w:r w:rsidRPr="00686203">
      <w:rPr>
        <w:rFonts w:asciiTheme="minorHAnsi" w:hAnsiTheme="minorHAnsi" w:cs="Tahoma"/>
      </w:rPr>
      <w:fldChar w:fldCharType="end"/>
    </w:r>
    <w:r w:rsidRPr="00686203">
      <w:rPr>
        <w:rFonts w:asciiTheme="minorHAnsi" w:hAnsiTheme="minorHAnsi" w:cs="Tahoma"/>
      </w:rPr>
      <w:t xml:space="preserve"> z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NUMPAGES </w:instrText>
    </w:r>
    <w:r w:rsidRPr="00686203">
      <w:rPr>
        <w:rFonts w:asciiTheme="minorHAnsi" w:hAnsiTheme="minorHAnsi" w:cs="Tahoma"/>
      </w:rPr>
      <w:fldChar w:fldCharType="separate"/>
    </w:r>
    <w:r w:rsidR="006A1E9A">
      <w:rPr>
        <w:rFonts w:asciiTheme="minorHAnsi" w:hAnsiTheme="minorHAnsi" w:cs="Tahoma"/>
        <w:noProof/>
      </w:rPr>
      <w:t>25</w:t>
    </w:r>
    <w:r w:rsidRPr="00686203">
      <w:rPr>
        <w:rFonts w:asciiTheme="minorHAnsi" w:hAnsiTheme="minorHAnsi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14" w:rsidRDefault="009A0614">
      <w:r>
        <w:separator/>
      </w:r>
    </w:p>
  </w:footnote>
  <w:footnote w:type="continuationSeparator" w:id="0">
    <w:p w:rsidR="009A0614" w:rsidRDefault="009A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A" w:rsidRDefault="002D795A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A" w:rsidRPr="006938B2" w:rsidRDefault="002D795A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5A" w:rsidRPr="00B7234B" w:rsidRDefault="002D795A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B93E79"/>
    <w:multiLevelType w:val="multilevel"/>
    <w:tmpl w:val="E4D8B3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25A8E"/>
    <w:multiLevelType w:val="hybridMultilevel"/>
    <w:tmpl w:val="80B8A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25325BC"/>
    <w:multiLevelType w:val="hybridMultilevel"/>
    <w:tmpl w:val="A41C6EC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1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9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1F3151"/>
    <w:multiLevelType w:val="hybridMultilevel"/>
    <w:tmpl w:val="FCBC5862"/>
    <w:lvl w:ilvl="0" w:tplc="128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C22697F"/>
    <w:multiLevelType w:val="hybridMultilevel"/>
    <w:tmpl w:val="400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57"/>
  </w:num>
  <w:num w:numId="7">
    <w:abstractNumId w:val="26"/>
  </w:num>
  <w:num w:numId="8">
    <w:abstractNumId w:val="53"/>
  </w:num>
  <w:num w:numId="9">
    <w:abstractNumId w:val="55"/>
  </w:num>
  <w:num w:numId="10">
    <w:abstractNumId w:val="68"/>
  </w:num>
  <w:num w:numId="11">
    <w:abstractNumId w:val="45"/>
  </w:num>
  <w:num w:numId="12">
    <w:abstractNumId w:val="30"/>
  </w:num>
  <w:num w:numId="13">
    <w:abstractNumId w:val="64"/>
  </w:num>
  <w:num w:numId="14">
    <w:abstractNumId w:val="52"/>
  </w:num>
  <w:num w:numId="15">
    <w:abstractNumId w:val="69"/>
  </w:num>
  <w:num w:numId="16">
    <w:abstractNumId w:val="24"/>
  </w:num>
  <w:num w:numId="17">
    <w:abstractNumId w:val="46"/>
  </w:num>
  <w:num w:numId="18">
    <w:abstractNumId w:val="44"/>
  </w:num>
  <w:num w:numId="19">
    <w:abstractNumId w:val="21"/>
  </w:num>
  <w:num w:numId="20">
    <w:abstractNumId w:val="41"/>
  </w:num>
  <w:num w:numId="21">
    <w:abstractNumId w:val="60"/>
  </w:num>
  <w:num w:numId="22">
    <w:abstractNumId w:val="42"/>
  </w:num>
  <w:num w:numId="23">
    <w:abstractNumId w:val="5"/>
  </w:num>
  <w:num w:numId="24">
    <w:abstractNumId w:val="40"/>
  </w:num>
  <w:num w:numId="25">
    <w:abstractNumId w:val="36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58"/>
  </w:num>
  <w:num w:numId="30">
    <w:abstractNumId w:val="20"/>
  </w:num>
  <w:num w:numId="31">
    <w:abstractNumId w:val="47"/>
  </w:num>
  <w:num w:numId="32">
    <w:abstractNumId w:val="29"/>
  </w:num>
  <w:num w:numId="33">
    <w:abstractNumId w:val="62"/>
  </w:num>
  <w:num w:numId="34">
    <w:abstractNumId w:val="32"/>
  </w:num>
  <w:num w:numId="35">
    <w:abstractNumId w:val="19"/>
  </w:num>
  <w:num w:numId="36">
    <w:abstractNumId w:val="33"/>
  </w:num>
  <w:num w:numId="37">
    <w:abstractNumId w:val="27"/>
  </w:num>
  <w:num w:numId="38">
    <w:abstractNumId w:val="37"/>
  </w:num>
  <w:num w:numId="39">
    <w:abstractNumId w:val="23"/>
  </w:num>
  <w:num w:numId="40">
    <w:abstractNumId w:val="39"/>
  </w:num>
  <w:num w:numId="41">
    <w:abstractNumId w:val="22"/>
  </w:num>
  <w:num w:numId="42">
    <w:abstractNumId w:val="34"/>
  </w:num>
  <w:num w:numId="43">
    <w:abstractNumId w:val="2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17"/>
  </w:num>
  <w:num w:numId="53">
    <w:abstractNumId w:val="49"/>
  </w:num>
  <w:num w:numId="54">
    <w:abstractNumId w:val="38"/>
  </w:num>
  <w:num w:numId="55">
    <w:abstractNumId w:val="63"/>
  </w:num>
  <w:num w:numId="56">
    <w:abstractNumId w:val="65"/>
  </w:num>
  <w:num w:numId="57">
    <w:abstractNumId w:val="35"/>
  </w:num>
  <w:num w:numId="58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61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3FB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33AA9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203"/>
    <w:rsid w:val="00686C99"/>
    <w:rsid w:val="00687296"/>
    <w:rsid w:val="0069205F"/>
    <w:rsid w:val="0069207F"/>
    <w:rsid w:val="00692599"/>
    <w:rsid w:val="006938B2"/>
    <w:rsid w:val="00694B38"/>
    <w:rsid w:val="006A1E9A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2A86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614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1F63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6987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c.europa.eu/growth/esp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F51B-C71A-4867-87D2-39765834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9305</Words>
  <Characters>55835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65010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6</cp:revision>
  <cp:lastPrinted>2017-01-18T10:08:00Z</cp:lastPrinted>
  <dcterms:created xsi:type="dcterms:W3CDTF">2017-07-27T12:01:00Z</dcterms:created>
  <dcterms:modified xsi:type="dcterms:W3CDTF">2017-07-28T16:49:00Z</dcterms:modified>
</cp:coreProperties>
</file>