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B2AAC">
        <w:rPr>
          <w:rFonts w:asciiTheme="minorHAnsi" w:hAnsiTheme="minorHAnsi"/>
          <w:b/>
          <w:sz w:val="24"/>
          <w:szCs w:val="24"/>
        </w:rPr>
        <w:t>11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9515E4" w:rsidRPr="00EF67CC">
        <w:rPr>
          <w:rFonts w:asciiTheme="minorHAnsi" w:hAnsiTheme="minorHAnsi"/>
          <w:b/>
          <w:sz w:val="24"/>
          <w:szCs w:val="24"/>
        </w:rPr>
        <w:t>7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E0BEC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99359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 oraz wieży laparoskopowej</w:t>
      </w:r>
      <w:r w:rsidR="000A219C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zwanym w treści SIWZ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B13915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F67CC">
        <w:rPr>
          <w:rFonts w:asciiTheme="minorHAnsi" w:hAnsiTheme="minorHAnsi"/>
          <w:sz w:val="24"/>
          <w:szCs w:val="24"/>
        </w:rPr>
        <w:t>późn</w:t>
      </w:r>
      <w:proofErr w:type="spellEnd"/>
      <w:r w:rsidRPr="00EF67CC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EF67CC">
        <w:rPr>
          <w:rFonts w:asciiTheme="minorHAnsi" w:hAnsiTheme="minorHAnsi"/>
          <w:sz w:val="24"/>
          <w:szCs w:val="24"/>
        </w:rPr>
        <w:t>),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9359D" w:rsidRPr="00EF67CC" w:rsidRDefault="0099359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F67CC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366FD3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366FD3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366FD3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9359D" w:rsidRPr="00366FD3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 oraz wieży laparoskopowej</w:t>
      </w:r>
      <w:r w:rsidRPr="00366FD3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 w:rsidRPr="00366FD3">
        <w:rPr>
          <w:rFonts w:asciiTheme="minorHAnsi" w:hAnsiTheme="minorHAnsi"/>
          <w:sz w:val="24"/>
          <w:szCs w:val="24"/>
        </w:rPr>
        <w:t xml:space="preserve"> i 3a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7B51F6" w:rsidRPr="008E0D44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8E0D44">
        <w:rPr>
          <w:rFonts w:asciiTheme="minorHAnsi" w:hAnsiTheme="minorHAnsi"/>
          <w:szCs w:val="24"/>
        </w:rPr>
        <w:t xml:space="preserve">Kod CPV: </w:t>
      </w:r>
      <w:r w:rsidR="008E0D44" w:rsidRPr="008E0D44">
        <w:rPr>
          <w:rFonts w:asciiTheme="minorHAnsi" w:hAnsiTheme="minorHAnsi" w:cs="EUAlbertina"/>
          <w:szCs w:val="24"/>
          <w:lang w:eastAsia="pl-PL"/>
        </w:rPr>
        <w:t>33168100-6</w:t>
      </w:r>
      <w:r w:rsidR="00797706">
        <w:rPr>
          <w:rFonts w:asciiTheme="minorHAnsi" w:hAnsiTheme="minorHAnsi"/>
          <w:szCs w:val="24"/>
        </w:rPr>
        <w:t>.</w:t>
      </w:r>
    </w:p>
    <w:p w:rsidR="007B51F6" w:rsidRPr="00366FD3" w:rsidRDefault="00366FD3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Przedmiot zamówienia obejmuje </w:t>
      </w:r>
      <w:r w:rsidRPr="00366FD3">
        <w:rPr>
          <w:rFonts w:asciiTheme="minorHAnsi" w:hAnsiTheme="minorHAnsi"/>
          <w:b/>
          <w:szCs w:val="24"/>
        </w:rPr>
        <w:t>2 niepodzielne pakiety</w:t>
      </w:r>
      <w:r w:rsidRPr="00366FD3">
        <w:rPr>
          <w:rFonts w:asciiTheme="minorHAnsi" w:hAnsiTheme="minorHAnsi"/>
          <w:szCs w:val="24"/>
        </w:rPr>
        <w:t>, dla których Zamawiający dopuszcza możliwość składania ofert częściowych, z zast</w:t>
      </w:r>
      <w:r w:rsidR="00797706">
        <w:rPr>
          <w:rFonts w:asciiTheme="minorHAnsi" w:hAnsiTheme="minorHAnsi"/>
          <w:szCs w:val="24"/>
        </w:rPr>
        <w:t>rzeżeniem, iż oferta w każdym z </w:t>
      </w:r>
      <w:r w:rsidRPr="00366FD3">
        <w:rPr>
          <w:rFonts w:asciiTheme="minorHAnsi" w:hAnsiTheme="minorHAnsi"/>
          <w:szCs w:val="24"/>
        </w:rPr>
        <w:t xml:space="preserve">pakietów winna być pełna i powinna spełniać szczegółowe wymagania określone w formularzach cenowych, stanowiących załącznik nr 2 do </w:t>
      </w:r>
      <w:proofErr w:type="spellStart"/>
      <w:r w:rsidRPr="00366FD3">
        <w:rPr>
          <w:rFonts w:asciiTheme="minorHAnsi" w:hAnsiTheme="minorHAnsi"/>
          <w:szCs w:val="24"/>
        </w:rPr>
        <w:t>siwz</w:t>
      </w:r>
      <w:proofErr w:type="spellEnd"/>
      <w:r w:rsidRPr="00366FD3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366FD3">
        <w:rPr>
          <w:rFonts w:asciiTheme="minorHAnsi" w:hAnsiTheme="minorHAnsi"/>
          <w:szCs w:val="24"/>
        </w:rPr>
        <w:lastRenderedPageBreak/>
        <w:t>techniczno</w:t>
      </w:r>
      <w:proofErr w:type="spellEnd"/>
      <w:r w:rsidRPr="00366FD3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366FD3">
        <w:rPr>
          <w:rFonts w:asciiTheme="minorHAnsi" w:hAnsiTheme="minorHAnsi"/>
          <w:szCs w:val="24"/>
        </w:rPr>
        <w:t>siwz</w:t>
      </w:r>
      <w:proofErr w:type="spellEnd"/>
      <w:r w:rsidRPr="00366FD3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366FD3">
        <w:rPr>
          <w:rFonts w:asciiTheme="minorHAnsi" w:hAnsiTheme="minorHAnsi"/>
          <w:szCs w:val="24"/>
        </w:rPr>
        <w:t>dać wszelkie niezbędne atesty i </w:t>
      </w:r>
      <w:r w:rsidRPr="00366FD3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7B51F6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CF3954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 xml:space="preserve">stanowiącym załącznik nr </w:t>
      </w:r>
      <w:r w:rsidR="00303838" w:rsidRPr="00CF3954">
        <w:rPr>
          <w:rFonts w:asciiTheme="minorHAnsi" w:hAnsiTheme="minorHAnsi"/>
          <w:szCs w:val="24"/>
        </w:rPr>
        <w:t>7</w:t>
      </w:r>
      <w:r w:rsidRPr="00CF3954">
        <w:rPr>
          <w:rFonts w:asciiTheme="minorHAnsi" w:hAnsiTheme="minorHAnsi"/>
          <w:szCs w:val="24"/>
        </w:rPr>
        <w:t xml:space="preserve"> do SIWZ.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366FD3" w:rsidRPr="00366FD3" w:rsidRDefault="00366FD3" w:rsidP="00366FD3">
      <w:pPr>
        <w:pStyle w:val="Tekstpodstawowy21"/>
        <w:widowControl/>
        <w:numPr>
          <w:ilvl w:val="1"/>
          <w:numId w:val="21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dopuszcza składanie ofert częściowych na każdy z n/w pakietów:</w:t>
      </w:r>
    </w:p>
    <w:p w:rsidR="00366FD3" w:rsidRPr="00366FD3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1</w:t>
      </w:r>
      <w:r w:rsidRPr="00366FD3">
        <w:rPr>
          <w:rFonts w:asciiTheme="minorHAnsi" w:hAnsiTheme="minorHAnsi"/>
          <w:szCs w:val="24"/>
        </w:rPr>
        <w:t xml:space="preserve"> - zakup i dostawa zestawu endoskopowego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.),</w:t>
      </w:r>
    </w:p>
    <w:p w:rsidR="00366FD3" w:rsidRPr="00366FD3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2</w:t>
      </w:r>
      <w:r w:rsidRPr="00366FD3">
        <w:rPr>
          <w:rFonts w:asciiTheme="minorHAnsi" w:hAnsiTheme="minorHAnsi"/>
          <w:szCs w:val="24"/>
        </w:rPr>
        <w:t xml:space="preserve"> - zakup i dostawa wieży laparoskopowej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r w:rsidRPr="00EF67CC">
        <w:rPr>
          <w:rFonts w:ascii="Calibri" w:hAnsi="Calibri"/>
          <w:b/>
          <w:bCs/>
          <w:szCs w:val="24"/>
        </w:rPr>
        <w:t>IV.TERMIN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303838">
        <w:rPr>
          <w:rFonts w:ascii="Calibri" w:hAnsi="Calibri"/>
          <w:b/>
          <w:sz w:val="24"/>
        </w:rPr>
        <w:t xml:space="preserve"> w terminie 3</w:t>
      </w:r>
      <w:r w:rsidRPr="00EF67CC">
        <w:rPr>
          <w:rFonts w:ascii="Calibri" w:hAnsi="Calibri"/>
          <w:b/>
          <w:sz w:val="24"/>
        </w:rPr>
        <w:t>0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</w:t>
      </w:r>
      <w:r w:rsidR="00366FD3">
        <w:rPr>
          <w:rFonts w:asciiTheme="minorHAnsi" w:hAnsiTheme="minorHAnsi"/>
          <w:szCs w:val="24"/>
        </w:rPr>
        <w:t>na każdym etapie postępowania o </w:t>
      </w:r>
      <w:r w:rsidRPr="00141017">
        <w:rPr>
          <w:rFonts w:asciiTheme="minorHAnsi" w:hAnsiTheme="minorHAnsi"/>
          <w:szCs w:val="24"/>
        </w:rPr>
        <w:t xml:space="preserve">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F14113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D7B03">
        <w:rPr>
          <w:rFonts w:asciiTheme="minorHAnsi" w:hAnsiTheme="minorHAnsi"/>
          <w:szCs w:val="24"/>
        </w:rPr>
        <w:t>e</w:t>
      </w:r>
      <w:r w:rsidR="004665B8" w:rsidRPr="00E25A11">
        <w:rPr>
          <w:rFonts w:asciiTheme="minorHAnsi" w:hAnsiTheme="minorHAnsi"/>
          <w:szCs w:val="24"/>
        </w:rPr>
        <w:t>,</w:t>
      </w:r>
      <w:r w:rsidR="004D7B03"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CF3954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2. Na </w:t>
      </w:r>
      <w:r w:rsidRPr="00CF3954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wezwanie Zamawiającego Wykonawca zobowiązany będzie złożyć: </w:t>
      </w:r>
    </w:p>
    <w:p w:rsidR="00486A0F" w:rsidRPr="00CF3954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486A0F" w:rsidRPr="00CF3954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CF3954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CF3954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486A0F" w:rsidRPr="00E25A11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="006A6154"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147B83">
        <w:rPr>
          <w:rFonts w:asciiTheme="minorHAnsi" w:hAnsiTheme="minorHAnsi"/>
          <w:b/>
        </w:rPr>
        <w:t xml:space="preserve">SPOSOBIE POROZUMIEWANIA </w:t>
      </w:r>
      <w:r w:rsidR="0045431A" w:rsidRPr="0077675C">
        <w:rPr>
          <w:rFonts w:asciiTheme="minorHAnsi" w:hAnsiTheme="minorHAnsi"/>
          <w:b/>
        </w:rPr>
        <w:t>SIĘ ZAMAWI</w:t>
      </w:r>
      <w:r w:rsidR="00147B83">
        <w:rPr>
          <w:rFonts w:asciiTheme="minorHAnsi" w:hAnsiTheme="minorHAnsi"/>
          <w:b/>
        </w:rPr>
        <w:t>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lastRenderedPageBreak/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</w:t>
      </w:r>
      <w:r w:rsidR="00147B83">
        <w:rPr>
          <w:rFonts w:asciiTheme="minorHAnsi" w:hAnsiTheme="minorHAnsi"/>
          <w:b w:val="0"/>
          <w:bCs/>
        </w:rPr>
        <w:t xml:space="preserve"> oryginałem przez notariusza).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147B83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9E0BEC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>
        <w:rPr>
          <w:rFonts w:asciiTheme="minorHAnsi" w:eastAsia="Calibri1" w:hAnsiTheme="minorHAnsi" w:cs="Calibri1"/>
          <w:bCs/>
          <w:color w:val="000000"/>
          <w:szCs w:val="24"/>
        </w:rPr>
        <w:t xml:space="preserve">zestawu endoskopowego oraz wieży </w:t>
      </w:r>
      <w:r w:rsidRPr="00147B83">
        <w:rPr>
          <w:rFonts w:asciiTheme="minorHAnsi" w:eastAsia="Calibri1" w:hAnsiTheme="minorHAnsi" w:cs="Calibri1"/>
          <w:bCs/>
          <w:color w:val="000000"/>
          <w:szCs w:val="24"/>
        </w:rPr>
        <w:t>laparoskopowej</w:t>
      </w:r>
      <w:r w:rsidR="00D501EA" w:rsidRPr="00147B83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147B83">
        <w:rPr>
          <w:rFonts w:asciiTheme="minorHAnsi" w:hAnsiTheme="minorHAnsi"/>
          <w:szCs w:val="24"/>
        </w:rPr>
        <w:t xml:space="preserve"> – 11</w:t>
      </w:r>
      <w:r w:rsidR="00486A0F" w:rsidRPr="00147B83">
        <w:rPr>
          <w:rFonts w:asciiTheme="minorHAnsi" w:hAnsiTheme="minorHAnsi"/>
          <w:szCs w:val="24"/>
        </w:rPr>
        <w:t>/2017</w:t>
      </w:r>
      <w:r w:rsidR="00D501EA" w:rsidRPr="00147B83">
        <w:rPr>
          <w:rFonts w:asciiTheme="minorHAnsi" w:hAnsiTheme="minorHAnsi"/>
          <w:szCs w:val="24"/>
        </w:rPr>
        <w:t>.</w:t>
      </w:r>
    </w:p>
    <w:p w:rsidR="00D501EA" w:rsidRPr="00E25A11" w:rsidRDefault="00B543A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14</w:t>
      </w:r>
      <w:r w:rsidR="00147B83" w:rsidRPr="00147B83">
        <w:rPr>
          <w:rFonts w:asciiTheme="minorHAnsi" w:hAnsiTheme="minorHAnsi"/>
          <w:b w:val="0"/>
          <w:szCs w:val="24"/>
        </w:rPr>
        <w:t>.11</w:t>
      </w:r>
      <w:r w:rsidR="008B2198" w:rsidRPr="00147B83">
        <w:rPr>
          <w:rFonts w:asciiTheme="minorHAnsi" w:hAnsiTheme="minorHAnsi"/>
          <w:b w:val="0"/>
          <w:szCs w:val="24"/>
        </w:rPr>
        <w:t>.201</w:t>
      </w:r>
      <w:r w:rsidR="00D003BF" w:rsidRPr="00147B83">
        <w:rPr>
          <w:rFonts w:asciiTheme="minorHAnsi" w:hAnsiTheme="minorHAnsi"/>
          <w:b w:val="0"/>
          <w:szCs w:val="24"/>
        </w:rPr>
        <w:t>7 r. przed godz. 1</w:t>
      </w:r>
      <w:r w:rsidR="00147B83" w:rsidRPr="00147B83">
        <w:rPr>
          <w:rFonts w:asciiTheme="minorHAnsi" w:hAnsiTheme="minorHAnsi"/>
          <w:b w:val="0"/>
          <w:szCs w:val="24"/>
        </w:rPr>
        <w:t>0</w:t>
      </w:r>
      <w:r w:rsidR="00D501EA" w:rsidRPr="00147B83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Oferty należy przesłać na adres: </w:t>
      </w:r>
      <w:r w:rsidRPr="00147B83">
        <w:rPr>
          <w:rFonts w:asciiTheme="minorHAnsi" w:hAnsiTheme="minorHAnsi"/>
          <w:b/>
          <w:szCs w:val="24"/>
          <w:u w:val="single"/>
        </w:rPr>
        <w:t>SP W</w:t>
      </w:r>
      <w:r w:rsidRPr="00147B83">
        <w:rPr>
          <w:rFonts w:asciiTheme="minorHAnsi" w:hAnsiTheme="minorHAnsi"/>
          <w:b/>
          <w:bCs/>
          <w:szCs w:val="24"/>
          <w:u w:val="single"/>
        </w:rPr>
        <w:t>ZOZ MSW</w:t>
      </w:r>
      <w:r w:rsidR="00AA6BA0" w:rsidRPr="00147B83">
        <w:rPr>
          <w:rFonts w:asciiTheme="minorHAnsi" w:hAnsiTheme="minorHAnsi"/>
          <w:b/>
          <w:bCs/>
          <w:szCs w:val="24"/>
          <w:u w:val="single"/>
        </w:rPr>
        <w:t>iA</w:t>
      </w:r>
      <w:r w:rsidRPr="00147B83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147B83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147B83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147B83">
        <w:rPr>
          <w:rFonts w:asciiTheme="minorHAnsi" w:hAnsiTheme="minorHAnsi"/>
          <w:szCs w:val="24"/>
        </w:rPr>
        <w:t>lub złożyć w siedzibie zamaw</w:t>
      </w:r>
      <w:r w:rsidR="00912332" w:rsidRPr="00147B83">
        <w:rPr>
          <w:rFonts w:asciiTheme="minorHAnsi" w:hAnsiTheme="minorHAnsi"/>
          <w:szCs w:val="24"/>
        </w:rPr>
        <w:t xml:space="preserve">iającego sekretariat Dyrektora </w:t>
      </w:r>
      <w:r w:rsidRPr="00147B83">
        <w:rPr>
          <w:rFonts w:asciiTheme="minorHAnsi" w:hAnsiTheme="minorHAnsi"/>
          <w:szCs w:val="24"/>
        </w:rPr>
        <w:t xml:space="preserve">pok. nr </w:t>
      </w:r>
      <w:r w:rsidR="00B21846" w:rsidRPr="00147B83">
        <w:rPr>
          <w:rFonts w:asciiTheme="minorHAnsi" w:hAnsiTheme="minorHAnsi"/>
          <w:szCs w:val="24"/>
        </w:rPr>
        <w:t>5</w:t>
      </w:r>
      <w:r w:rsidRPr="00147B83">
        <w:rPr>
          <w:rFonts w:asciiTheme="minorHAnsi" w:hAnsiTheme="minorHAnsi"/>
          <w:szCs w:val="24"/>
        </w:rPr>
        <w:t xml:space="preserve">06 </w:t>
      </w:r>
      <w:r w:rsidR="00B408C7" w:rsidRPr="00147B83">
        <w:rPr>
          <w:rFonts w:asciiTheme="minorHAnsi" w:hAnsiTheme="minorHAnsi"/>
          <w:szCs w:val="24"/>
        </w:rPr>
        <w:t>SP W</w:t>
      </w:r>
      <w:r w:rsidRPr="00147B83">
        <w:rPr>
          <w:rFonts w:asciiTheme="minorHAnsi" w:hAnsiTheme="minorHAnsi"/>
          <w:szCs w:val="24"/>
        </w:rPr>
        <w:t>ZOZ MSW</w:t>
      </w:r>
      <w:r w:rsidR="00AA6BA0" w:rsidRPr="00147B83">
        <w:rPr>
          <w:rFonts w:asciiTheme="minorHAnsi" w:hAnsiTheme="minorHAnsi"/>
          <w:szCs w:val="24"/>
        </w:rPr>
        <w:t>iA</w:t>
      </w:r>
      <w:r w:rsidRPr="00147B83">
        <w:rPr>
          <w:rFonts w:asciiTheme="minorHAnsi" w:hAnsiTheme="minorHAnsi"/>
          <w:szCs w:val="24"/>
        </w:rPr>
        <w:t xml:space="preserve"> w Bydgoszczy w</w:t>
      </w:r>
      <w:r w:rsidR="00F04300" w:rsidRPr="00147B83">
        <w:rPr>
          <w:rFonts w:asciiTheme="minorHAnsi" w:hAnsiTheme="minorHAnsi"/>
          <w:szCs w:val="24"/>
        </w:rPr>
        <w:t xml:space="preserve"> nieprzekraczalnym terminie do </w:t>
      </w:r>
      <w:r w:rsidRPr="00147B83">
        <w:rPr>
          <w:rFonts w:asciiTheme="minorHAnsi" w:hAnsiTheme="minorHAnsi"/>
          <w:szCs w:val="24"/>
        </w:rPr>
        <w:t xml:space="preserve">dnia </w:t>
      </w:r>
      <w:r w:rsidR="00B543A8">
        <w:rPr>
          <w:rFonts w:asciiTheme="minorHAnsi" w:hAnsiTheme="minorHAnsi"/>
          <w:b/>
          <w:szCs w:val="24"/>
        </w:rPr>
        <w:t>14</w:t>
      </w:r>
      <w:r w:rsidRPr="00147B83">
        <w:rPr>
          <w:rFonts w:asciiTheme="minorHAnsi" w:hAnsiTheme="minorHAnsi"/>
          <w:b/>
          <w:szCs w:val="24"/>
        </w:rPr>
        <w:t>.</w:t>
      </w:r>
      <w:r w:rsidR="00147B83" w:rsidRPr="00147B83">
        <w:rPr>
          <w:rFonts w:asciiTheme="minorHAnsi" w:hAnsiTheme="minorHAnsi"/>
          <w:b/>
          <w:szCs w:val="24"/>
        </w:rPr>
        <w:t>11</w:t>
      </w:r>
      <w:r w:rsidRPr="00147B83">
        <w:rPr>
          <w:rFonts w:asciiTheme="minorHAnsi" w:hAnsiTheme="minorHAnsi"/>
          <w:b/>
          <w:szCs w:val="24"/>
        </w:rPr>
        <w:t>.201</w:t>
      </w:r>
      <w:r w:rsidR="009A4B86" w:rsidRPr="00147B83">
        <w:rPr>
          <w:rFonts w:asciiTheme="minorHAnsi" w:hAnsiTheme="minorHAnsi"/>
          <w:b/>
          <w:szCs w:val="24"/>
        </w:rPr>
        <w:t>7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>do godz.</w:t>
      </w:r>
      <w:r w:rsidR="00147B83" w:rsidRPr="00147B83">
        <w:rPr>
          <w:rFonts w:asciiTheme="minorHAnsi" w:hAnsiTheme="minorHAnsi"/>
          <w:b/>
          <w:szCs w:val="24"/>
        </w:rPr>
        <w:t>09</w:t>
      </w:r>
      <w:r w:rsidRPr="00147B83">
        <w:rPr>
          <w:rFonts w:asciiTheme="minorHAnsi" w:hAnsiTheme="minorHAnsi"/>
          <w:b/>
          <w:szCs w:val="24"/>
          <w:vertAlign w:val="superscript"/>
        </w:rPr>
        <w:t>30</w:t>
      </w:r>
      <w:r w:rsidRPr="00147B83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147B83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147B83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</w:t>
      </w:r>
      <w:r w:rsidR="00912332" w:rsidRPr="00147B83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147B83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Otwarcie ofert nastąpi w dniu </w:t>
      </w:r>
      <w:r w:rsidR="00B543A8">
        <w:rPr>
          <w:rFonts w:asciiTheme="minorHAnsi" w:hAnsiTheme="minorHAnsi"/>
          <w:b/>
          <w:szCs w:val="24"/>
        </w:rPr>
        <w:t>14</w:t>
      </w:r>
      <w:r w:rsidRPr="00147B83">
        <w:rPr>
          <w:rFonts w:asciiTheme="minorHAnsi" w:hAnsiTheme="minorHAnsi"/>
          <w:b/>
          <w:szCs w:val="24"/>
        </w:rPr>
        <w:t>.</w:t>
      </w:r>
      <w:r w:rsidR="00147B83" w:rsidRPr="00147B83">
        <w:rPr>
          <w:rFonts w:asciiTheme="minorHAnsi" w:hAnsiTheme="minorHAnsi"/>
          <w:b/>
          <w:szCs w:val="24"/>
        </w:rPr>
        <w:t>11</w:t>
      </w:r>
      <w:r w:rsidRPr="00147B83">
        <w:rPr>
          <w:rFonts w:asciiTheme="minorHAnsi" w:hAnsiTheme="minorHAnsi"/>
          <w:b/>
          <w:szCs w:val="24"/>
        </w:rPr>
        <w:t>.201</w:t>
      </w:r>
      <w:r w:rsidR="009A4B86" w:rsidRPr="00147B83">
        <w:rPr>
          <w:rFonts w:asciiTheme="minorHAnsi" w:hAnsiTheme="minorHAnsi"/>
          <w:b/>
          <w:szCs w:val="24"/>
        </w:rPr>
        <w:t>7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 xml:space="preserve">o godz. </w:t>
      </w:r>
      <w:r w:rsidR="009A4B86" w:rsidRPr="00147B83">
        <w:rPr>
          <w:rFonts w:asciiTheme="minorHAnsi" w:hAnsiTheme="minorHAnsi"/>
          <w:b/>
          <w:szCs w:val="24"/>
        </w:rPr>
        <w:t>1</w:t>
      </w:r>
      <w:r w:rsidR="00147B83" w:rsidRPr="00147B83">
        <w:rPr>
          <w:rFonts w:asciiTheme="minorHAnsi" w:hAnsiTheme="minorHAnsi"/>
          <w:b/>
          <w:szCs w:val="24"/>
        </w:rPr>
        <w:t>0</w:t>
      </w:r>
      <w:r w:rsidRPr="00147B83">
        <w:rPr>
          <w:rFonts w:asciiTheme="minorHAnsi" w:hAnsiTheme="minorHAnsi"/>
          <w:b/>
          <w:szCs w:val="24"/>
          <w:vertAlign w:val="superscript"/>
        </w:rPr>
        <w:t>00</w:t>
      </w:r>
      <w:r w:rsidRPr="00147B83">
        <w:rPr>
          <w:rFonts w:asciiTheme="minorHAnsi" w:hAnsiTheme="minorHAnsi"/>
          <w:szCs w:val="24"/>
        </w:rPr>
        <w:t xml:space="preserve"> w si</w:t>
      </w:r>
      <w:r w:rsidR="00B21846" w:rsidRPr="00147B83">
        <w:rPr>
          <w:rFonts w:asciiTheme="minorHAnsi" w:hAnsiTheme="minorHAnsi"/>
          <w:szCs w:val="24"/>
        </w:rPr>
        <w:t>edzibie zamawiającego pokój nr 5</w:t>
      </w:r>
      <w:r w:rsidR="00B4470D" w:rsidRPr="00147B83">
        <w:rPr>
          <w:rFonts w:asciiTheme="minorHAnsi" w:hAnsiTheme="minorHAnsi"/>
          <w:szCs w:val="24"/>
        </w:rPr>
        <w:t>30</w:t>
      </w:r>
      <w:r w:rsidRPr="00147B83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1F49B7" w:rsidRDefault="00EA73CA" w:rsidP="00EA73CA">
      <w:pPr>
        <w:pStyle w:val="StandardZnak"/>
        <w:spacing w:line="276" w:lineRule="auto"/>
        <w:ind w:left="360"/>
        <w:jc w:val="both"/>
        <w:rPr>
          <w:b/>
          <w:u w:val="single"/>
        </w:rPr>
      </w:pPr>
      <w:r w:rsidRPr="001F49B7">
        <w:rPr>
          <w:b/>
          <w:u w:val="single"/>
        </w:rPr>
        <w:t xml:space="preserve">Pakiet nr </w:t>
      </w:r>
      <w:r>
        <w:rPr>
          <w:b/>
          <w:u w:val="single"/>
        </w:rPr>
        <w:t>1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A73CA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36</w:t>
      </w:r>
      <w:r w:rsidR="00EA73CA" w:rsidRPr="00E25A11">
        <w:rPr>
          <w:rFonts w:asciiTheme="minorHAnsi" w:hAnsiTheme="minorHAnsi"/>
          <w:b/>
        </w:rPr>
        <w:t>%</w:t>
      </w:r>
    </w:p>
    <w:p w:rsidR="00EA73CA" w:rsidRPr="00E25A11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4</w:t>
      </w:r>
      <w:r w:rsidR="00EA73CA">
        <w:rPr>
          <w:rFonts w:asciiTheme="minorHAnsi" w:hAnsiTheme="minorHAnsi"/>
          <w:b/>
        </w:rPr>
        <w:t>%</w:t>
      </w:r>
    </w:p>
    <w:p w:rsidR="00EA73CA" w:rsidRDefault="00EA73CA" w:rsidP="00EA73CA">
      <w:pPr>
        <w:pStyle w:val="StandardZnak"/>
        <w:spacing w:line="276" w:lineRule="auto"/>
        <w:ind w:left="360"/>
        <w:jc w:val="both"/>
        <w:rPr>
          <w:b/>
        </w:rPr>
      </w:pPr>
    </w:p>
    <w:p w:rsidR="00EA73CA" w:rsidRPr="001F49B7" w:rsidRDefault="00EA73CA" w:rsidP="00EA73CA">
      <w:pPr>
        <w:pStyle w:val="StandardZnak"/>
        <w:spacing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Pakiet nr 2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A73CA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30</w:t>
      </w:r>
      <w:r w:rsidR="00EA73CA" w:rsidRPr="00E25A11">
        <w:rPr>
          <w:rFonts w:asciiTheme="minorHAnsi" w:hAnsiTheme="minorHAnsi"/>
          <w:b/>
        </w:rPr>
        <w:t>%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1</w:t>
      </w:r>
      <w:r w:rsidR="004726D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A73CA" w:rsidRPr="001F49B7" w:rsidRDefault="00EA73CA" w:rsidP="00EA73CA">
      <w:pPr>
        <w:pStyle w:val="Standard"/>
        <w:widowControl w:val="0"/>
        <w:suppressAutoHyphens/>
        <w:autoSpaceDN/>
        <w:adjustRightInd/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1F49B7">
        <w:rPr>
          <w:rFonts w:ascii="Times New Roman" w:hAnsi="Times New Roman"/>
          <w:b/>
          <w:sz w:val="24"/>
          <w:u w:val="single"/>
        </w:rPr>
        <w:t>P</w:t>
      </w:r>
      <w:r>
        <w:rPr>
          <w:rFonts w:ascii="Times New Roman" w:hAnsi="Times New Roman"/>
          <w:b/>
          <w:sz w:val="24"/>
          <w:u w:val="single"/>
        </w:rPr>
        <w:t>akiet nr 1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="00EA73CA">
        <w:rPr>
          <w:rFonts w:asciiTheme="minorHAnsi" w:hAnsiTheme="minorHAnsi"/>
          <w:b/>
          <w:sz w:val="24"/>
        </w:rPr>
        <w:t xml:space="preserve"> – 36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A73CA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</w:t>
            </w:r>
            <w:r>
              <w:rPr>
                <w:b/>
                <w:sz w:val="24"/>
                <w:szCs w:val="24"/>
              </w:rPr>
              <w:t>uzyskanych w kryterium jakość (36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EA73CA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B316F0" w:rsidP="00EA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6F0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 w:rsidRPr="00364045">
              <w:rPr>
                <w:sz w:val="24"/>
                <w:szCs w:val="24"/>
              </w:rPr>
              <w:t>0</w:t>
            </w:r>
          </w:p>
        </w:tc>
      </w:tr>
    </w:tbl>
    <w:p w:rsidR="00EA73CA" w:rsidRDefault="00EA73CA" w:rsidP="00EA73CA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EA73CA" w:rsidRPr="0096038D" w:rsidRDefault="00EA73CA" w:rsidP="00EA73CA">
      <w:pPr>
        <w:pStyle w:val="Standard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EA73CA" w:rsidRPr="005076B7" w:rsidTr="00EA73CA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A73CA" w:rsidRPr="005076B7" w:rsidTr="00EA73CA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076B7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D29B4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D29B4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AK</w:t>
            </w:r>
            <w:r w:rsidRPr="004D29B4">
              <w:rPr>
                <w:rFonts w:asciiTheme="minorHAnsi" w:hAnsiTheme="minorHAnsi"/>
              </w:rPr>
              <w:t xml:space="preserve"> – 10 pkt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  <w:r w:rsidRPr="004D29B4">
              <w:rPr>
                <w:rFonts w:asciiTheme="minorHAnsi" w:hAnsiTheme="minorHAnsi" w:cs="Arial"/>
              </w:rPr>
              <w:t>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4D29B4">
              <w:rPr>
                <w:rFonts w:asciiTheme="minorHAnsi" w:hAnsiTheme="minorHAnsi"/>
                <w:sz w:val="20"/>
                <w:szCs w:val="20"/>
              </w:rPr>
              <w:t>iltr ograniczający widmo światła czerwonego – uwydatniający naczynia oraz zmiany.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Równoczesny - optyczny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9B4">
              <w:rPr>
                <w:rFonts w:asciiTheme="minorHAnsi" w:hAnsiTheme="minorHAnsi"/>
                <w:sz w:val="20"/>
                <w:szCs w:val="20"/>
              </w:rPr>
              <w:t>Insuflacj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Obrazowanie w wąskim paśmie świ</w:t>
            </w:r>
            <w:r>
              <w:rPr>
                <w:rFonts w:asciiTheme="minorHAnsi" w:hAnsiTheme="minorHAnsi"/>
                <w:sz w:val="20"/>
                <w:szCs w:val="20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D29B4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D29B4">
              <w:rPr>
                <w:rFonts w:asciiTheme="minorHAnsi" w:hAnsiTheme="minorHAnsi"/>
              </w:rPr>
              <w:t>Obrazowanie w wąskim paśmie świ</w:t>
            </w:r>
            <w:r>
              <w:rPr>
                <w:rFonts w:asciiTheme="minorHAnsi" w:hAnsiTheme="minorHAnsi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D29B4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</w:tbl>
    <w:p w:rsidR="00EA73CA" w:rsidRDefault="00EA73CA" w:rsidP="00EA73C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 w:rsidR="00EA73CA">
        <w:rPr>
          <w:rFonts w:ascii="Times New Roman" w:hAnsi="Times New Roman"/>
          <w:b/>
          <w:sz w:val="24"/>
        </w:rPr>
        <w:t>4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>Oferta, w zależności od zadek</w:t>
      </w:r>
      <w:r w:rsidR="00B543A8">
        <w:rPr>
          <w:rFonts w:ascii="Times New Roman" w:hAnsi="Times New Roman"/>
          <w:sz w:val="24"/>
        </w:rPr>
        <w:t>larowanego terminu gwarancji, otrzyma następującą</w:t>
      </w:r>
      <w:bookmarkStart w:id="0" w:name="_GoBack"/>
      <w:bookmarkEnd w:id="0"/>
      <w:r w:rsidRPr="005449DD">
        <w:rPr>
          <w:rFonts w:ascii="Times New Roman" w:hAnsi="Times New Roman"/>
          <w:sz w:val="24"/>
        </w:rPr>
        <w:t xml:space="preserve"> liczbę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 w:rsidR="00EA73CA">
        <w:t>4</w:t>
      </w:r>
      <w:r w:rsidRPr="005449DD">
        <w:t xml:space="preserve">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1F49B7" w:rsidRDefault="00542B10" w:rsidP="00542B10">
      <w:pPr>
        <w:pStyle w:val="Standard"/>
        <w:widowControl w:val="0"/>
        <w:suppressAutoHyphens/>
        <w:autoSpaceDN/>
        <w:adjustRightInd/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1F49B7">
        <w:rPr>
          <w:rFonts w:ascii="Times New Roman" w:hAnsi="Times New Roman"/>
          <w:b/>
          <w:sz w:val="24"/>
          <w:u w:val="single"/>
        </w:rPr>
        <w:t>P</w:t>
      </w:r>
      <w:r>
        <w:rPr>
          <w:rFonts w:ascii="Times New Roman" w:hAnsi="Times New Roman"/>
          <w:b/>
          <w:sz w:val="24"/>
          <w:u w:val="single"/>
        </w:rPr>
        <w:t>akiet nr 2</w:t>
      </w:r>
    </w:p>
    <w:p w:rsidR="00542B10" w:rsidRPr="00E25A11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542B10" w:rsidRPr="00E25A11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E25A11" w:rsidRDefault="00542B10" w:rsidP="00542B10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542B10" w:rsidRPr="00E25A11" w:rsidRDefault="00542B10" w:rsidP="00542B10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542B10" w:rsidRPr="00E25A11" w:rsidRDefault="00542B10" w:rsidP="00542B10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542B10" w:rsidRPr="00E25A11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E25A11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542B10" w:rsidRPr="00E25A11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E25A11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>
        <w:rPr>
          <w:rFonts w:asciiTheme="minorHAnsi" w:hAnsiTheme="minorHAnsi"/>
          <w:b/>
          <w:sz w:val="24"/>
        </w:rPr>
        <w:t xml:space="preserve"> – 3</w:t>
      </w:r>
      <w:r w:rsidR="00B316F0">
        <w:rPr>
          <w:rFonts w:asciiTheme="minorHAnsi" w:hAnsiTheme="minorHAnsi"/>
          <w:b/>
          <w:sz w:val="24"/>
        </w:rPr>
        <w:t>0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542B10" w:rsidRPr="00E25A11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542B10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364045" w:rsidRDefault="00542B10" w:rsidP="00D37E4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364045" w:rsidRDefault="00542B10" w:rsidP="00D37E4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42B10" w:rsidRPr="00364045" w:rsidRDefault="00542B10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</w:t>
            </w:r>
            <w:r>
              <w:rPr>
                <w:b/>
                <w:sz w:val="24"/>
                <w:szCs w:val="24"/>
              </w:rPr>
              <w:t>uzyskanych w kryterium jakość (3</w:t>
            </w:r>
            <w:r w:rsidR="00775566">
              <w:rPr>
                <w:b/>
                <w:sz w:val="24"/>
                <w:szCs w:val="24"/>
              </w:rPr>
              <w:t>0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 w:rsidRPr="00364045">
              <w:rPr>
                <w:sz w:val="24"/>
                <w:szCs w:val="24"/>
              </w:rPr>
              <w:t>0</w:t>
            </w:r>
          </w:p>
        </w:tc>
      </w:tr>
    </w:tbl>
    <w:p w:rsidR="00542B10" w:rsidRDefault="00542B10" w:rsidP="00542B1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542B10" w:rsidRPr="0096038D" w:rsidRDefault="00542B10" w:rsidP="00542B10">
      <w:pPr>
        <w:pStyle w:val="Standard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Parametry podlegające ocenie:</w:t>
      </w:r>
    </w:p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775566" w:rsidRPr="00B316F0" w:rsidTr="004726DC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775566" w:rsidRPr="00B316F0" w:rsidTr="004726DC">
        <w:trPr>
          <w:cantSplit/>
          <w:trHeight w:val="484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7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775566" w:rsidRPr="00B316F0" w:rsidTr="004726DC">
        <w:trPr>
          <w:cantSplit/>
          <w:trHeight w:val="344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7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Obrazowanie w wąskim paśmie światła. Skuteczność potwierdzona badaniami klinicznymi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użycia płaszcza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wew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24fr resektoskopu bipolarnego jako resektoskopu 24fr po połączeniu z portem irygacyjnym z dwoma nierozbieralnymi zaworami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432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Jednoczasowe automatyczne oddymianie (komunikacja diatermii z oferowanym </w:t>
            </w:r>
            <w:proofErr w:type="spellStart"/>
            <w:r w:rsidRPr="00B316F0">
              <w:rPr>
                <w:rFonts w:asciiTheme="minorHAnsi" w:hAnsiTheme="minorHAnsi" w:cs="Arial"/>
              </w:rPr>
              <w:t>insuflatorem</w:t>
            </w:r>
            <w:proofErr w:type="spellEnd"/>
            <w:r w:rsidRPr="00B316F0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Możliwość podłączenia przycisku nożnego (nie wymagany SIWZ) do oddymiania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Zintegrowany procesor obrazu ze </w:t>
            </w:r>
            <w:proofErr w:type="spellStart"/>
            <w:r w:rsidRPr="00B316F0">
              <w:rPr>
                <w:rFonts w:asciiTheme="minorHAnsi" w:hAnsiTheme="minorHAnsi" w:cs="Arial"/>
              </w:rPr>
              <w:t>żródłem</w:t>
            </w:r>
            <w:proofErr w:type="spellEnd"/>
            <w:r w:rsidRPr="00B316F0">
              <w:rPr>
                <w:rFonts w:asciiTheme="minorHAnsi" w:hAnsiTheme="minorHAnsi" w:cs="Arial"/>
              </w:rPr>
              <w:t xml:space="preserve"> światła LED (jeden segment)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Dostępność drenów wielorazowych do pompy płuczącej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Trwałe oznaczenie elektrody - na tulejce stabilizującej informacjami pozwalającymi na szybką identyfikację elektrody, tj. informacją o kompatybilnej optyce i płaszczu wewnętrznym (24 lub 26 Fr), numerem katalogowym, informacją o środowisku pracy tj. 0,9%NaCl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Calibri"/>
                <w:color w:val="000000"/>
                <w:lang w:eastAsia="en-US"/>
              </w:rPr>
              <w:t>Włącznik/wyłącznik  ze wskaźnikiem stanu lampy na panelu dotykowym urządzenia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Minimum 3 dowolnie programowalne przyciski zlokalizowane na głowicy kamery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podłączenia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videocystoskopu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i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viodeouroteroskopu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giętkiego</w:t>
            </w:r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do wyspecyfikowanego sprzętu bez konieczności dodatkowego </w:t>
            </w:r>
            <w:proofErr w:type="spellStart"/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>dosprzętowienia</w:t>
            </w:r>
            <w:proofErr w:type="spellEnd"/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</w:tbl>
    <w:p w:rsidR="00542B10" w:rsidRDefault="00542B10" w:rsidP="00542B1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42B10" w:rsidRPr="005449DD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4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>Oferta, w zależności od zadeklarowanego terminu gwarancji</w:t>
      </w:r>
      <w:r w:rsidR="00B543A8">
        <w:rPr>
          <w:rFonts w:ascii="Times New Roman" w:hAnsi="Times New Roman"/>
          <w:sz w:val="24"/>
        </w:rPr>
        <w:t>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542B10" w:rsidRPr="005449DD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542B10" w:rsidRPr="005449DD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>
        <w:t>4</w:t>
      </w:r>
      <w:r w:rsidRPr="005449DD">
        <w:t xml:space="preserve"> pkt</w:t>
      </w:r>
    </w:p>
    <w:p w:rsidR="00542B10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631B6E" w:rsidRDefault="00542B10" w:rsidP="00542B10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542B10" w:rsidRPr="00E25A11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Ostateczną ocenę oferty stanowi suma punktów uzyskanych w kryteriach określonych w 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E25A11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  <w:r>
        <w:rPr>
          <w:rFonts w:ascii="Times New Roman" w:hAnsi="Times New Roman"/>
          <w:b/>
          <w:sz w:val="24"/>
          <w:u w:val="single"/>
        </w:rPr>
        <w:t>Pakiet nr 1, 2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="00BF7728">
        <w:rPr>
          <w:rFonts w:asciiTheme="minorHAnsi" w:hAnsiTheme="minorHAnsi"/>
          <w:sz w:val="24"/>
        </w:rPr>
        <w:t xml:space="preserve"> + G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BF7728" w:rsidRPr="00E25A11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 - </w:t>
      </w:r>
      <w:r w:rsidRPr="00E25A11">
        <w:rPr>
          <w:rFonts w:asciiTheme="minorHAnsi" w:hAnsiTheme="minorHAnsi"/>
          <w:sz w:val="24"/>
        </w:rPr>
        <w:t>wartość punktowa uzyskana przez ba</w:t>
      </w:r>
      <w:r>
        <w:rPr>
          <w:rFonts w:asciiTheme="minorHAnsi" w:hAnsiTheme="minorHAnsi"/>
          <w:sz w:val="24"/>
        </w:rPr>
        <w:t>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92306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923068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923068">
        <w:rPr>
          <w:rFonts w:asciiTheme="minorHAnsi" w:hAnsiTheme="minorHAnsi"/>
          <w:bCs/>
          <w:sz w:val="24"/>
          <w:szCs w:val="24"/>
        </w:rPr>
        <w:t>6</w:t>
      </w:r>
      <w:r w:rsidRPr="0092306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92306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92306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A6BA0">
        <w:rPr>
          <w:rFonts w:asciiTheme="minorHAnsi" w:hAnsiTheme="minorHAnsi"/>
          <w:sz w:val="24"/>
        </w:rPr>
        <w:t>goszcz, dn. 2</w:t>
      </w:r>
      <w:r w:rsidR="004726DC">
        <w:rPr>
          <w:rFonts w:asciiTheme="minorHAnsi" w:hAnsiTheme="minorHAnsi"/>
          <w:sz w:val="24"/>
        </w:rPr>
        <w:t>6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542B10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46031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542B1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0D5F17" w:rsidRPr="00B15EEA">
        <w:rPr>
          <w:rFonts w:asciiTheme="minorHAnsi" w:hAnsiTheme="minorHAnsi"/>
          <w:szCs w:val="24"/>
        </w:rPr>
        <w:t>/201</w:t>
      </w:r>
      <w:r w:rsidR="00AA6BA0"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542B10">
        <w:rPr>
          <w:rFonts w:asciiTheme="minorHAnsi" w:hAnsiTheme="minorHAnsi"/>
          <w:sz w:val="24"/>
        </w:rPr>
        <w:t>do ogłoszonego w dniu 2</w:t>
      </w:r>
      <w:r w:rsidR="004726DC">
        <w:rPr>
          <w:rFonts w:asciiTheme="minorHAnsi" w:hAnsiTheme="minorHAnsi"/>
          <w:sz w:val="24"/>
        </w:rPr>
        <w:t>6</w:t>
      </w:r>
      <w:r w:rsidR="000A34E6">
        <w:rPr>
          <w:rFonts w:asciiTheme="minorHAnsi" w:hAnsiTheme="minorHAnsi"/>
          <w:sz w:val="24"/>
        </w:rPr>
        <w:t xml:space="preserve"> </w:t>
      </w:r>
      <w:r w:rsidR="00542B10">
        <w:rPr>
          <w:rFonts w:asciiTheme="minorHAnsi" w:hAnsiTheme="minorHAnsi"/>
          <w:sz w:val="24"/>
        </w:rPr>
        <w:t>października</w:t>
      </w:r>
      <w:r w:rsidR="00AA6BA0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923068">
        <w:rPr>
          <w:rFonts w:asciiTheme="minorHAnsi" w:hAnsiTheme="minorHAnsi"/>
          <w:sz w:val="24"/>
        </w:rPr>
        <w:t>607553</w:t>
      </w:r>
      <w:r w:rsidR="00CB611C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zestaw</w:t>
      </w:r>
      <w:r w:rsidR="009A689D">
        <w:rPr>
          <w:rFonts w:asciiTheme="minorHAnsi" w:eastAsia="Calibri1" w:hAnsiTheme="minorHAnsi" w:cs="Calibri1"/>
          <w:b/>
          <w:bCs/>
          <w:color w:val="000000"/>
          <w:sz w:val="24"/>
        </w:rPr>
        <w:t>u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</w:t>
      </w:r>
      <w:r w:rsidR="00923068">
        <w:rPr>
          <w:rFonts w:asciiTheme="minorHAnsi" w:eastAsia="Calibri1" w:hAnsiTheme="minorHAnsi" w:cs="Calibri1"/>
          <w:b/>
          <w:bCs/>
          <w:color w:val="000000"/>
          <w:sz w:val="24"/>
        </w:rPr>
        <w:t>endoskopowego oraz wieży laparoskopowej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23068">
        <w:rPr>
          <w:rFonts w:asciiTheme="minorHAnsi" w:hAnsiTheme="minorHAnsi"/>
          <w:sz w:val="24"/>
        </w:rPr>
        <w:t>– nr postępowania 11</w:t>
      </w:r>
      <w:r w:rsidRPr="00B15EEA">
        <w:rPr>
          <w:rFonts w:asciiTheme="minorHAnsi" w:hAnsiTheme="minorHAnsi"/>
          <w:sz w:val="24"/>
        </w:rPr>
        <w:t>/201</w:t>
      </w:r>
      <w:r w:rsidR="009A689D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923068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4726DC" w:rsidRDefault="004726DC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4726DC" w:rsidTr="004726DC">
        <w:tc>
          <w:tcPr>
            <w:tcW w:w="8633" w:type="dxa"/>
          </w:tcPr>
          <w:p w:rsidR="004726DC" w:rsidRPr="004726DC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t>Pakiet nr 1</w:t>
            </w:r>
          </w:p>
          <w:p w:rsidR="004726DC" w:rsidRPr="00A764A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4726DC" w:rsidRPr="00A764AC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4726D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A764AC">
              <w:rPr>
                <w:rFonts w:ascii="Calibri" w:hAnsi="Calibri"/>
                <w:b/>
              </w:rPr>
              <w:t xml:space="preserve">Termin gwarancji na </w:t>
            </w:r>
            <w:r w:rsidRPr="00A764AC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zestaw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endoskopowy</w:t>
            </w:r>
            <w:r w:rsidRPr="00A764AC">
              <w:rPr>
                <w:rFonts w:ascii="Calibri" w:hAnsi="Calibri"/>
                <w:b/>
              </w:rPr>
              <w:t xml:space="preserve"> </w:t>
            </w:r>
            <w:r w:rsidR="00923068">
              <w:rPr>
                <w:rFonts w:ascii="Calibri" w:hAnsi="Calibri"/>
                <w:b/>
              </w:rPr>
              <w:t xml:space="preserve">(1kpl.)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4726DC" w:rsidP="004726DC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dopuszczalny termin gwarancji wynosi 24 lub 36 miesięcy.)</w:t>
            </w:r>
          </w:p>
        </w:tc>
      </w:tr>
    </w:tbl>
    <w:p w:rsidR="004726DC" w:rsidRDefault="004726DC" w:rsidP="004726DC">
      <w:pPr>
        <w:pStyle w:val="ust"/>
        <w:rPr>
          <w:rFonts w:asciiTheme="minorHAnsi" w:hAnsiTheme="minorHAnsi"/>
        </w:rPr>
      </w:pPr>
    </w:p>
    <w:p w:rsidR="004726DC" w:rsidRDefault="004726DC" w:rsidP="004726DC">
      <w:pPr>
        <w:pStyle w:val="ust"/>
        <w:ind w:left="0" w:firstLine="360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726DC" w:rsidTr="004726DC">
        <w:tc>
          <w:tcPr>
            <w:tcW w:w="9059" w:type="dxa"/>
          </w:tcPr>
          <w:p w:rsidR="004726DC" w:rsidRPr="004726DC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lastRenderedPageBreak/>
              <w:t>P</w:t>
            </w:r>
            <w:r>
              <w:rPr>
                <w:rFonts w:asciiTheme="minorHAnsi" w:hAnsiTheme="minorHAnsi"/>
                <w:b/>
              </w:rPr>
              <w:t>akiet nr 2</w:t>
            </w:r>
          </w:p>
          <w:p w:rsidR="004726DC" w:rsidRPr="00A764AC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4726DC" w:rsidRPr="00A764AC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4726DC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A764AC">
              <w:rPr>
                <w:rFonts w:ascii="Calibri" w:hAnsi="Calibri"/>
                <w:b/>
              </w:rPr>
              <w:t xml:space="preserve">Termin gwarancji na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wieżę laparoskopową</w:t>
            </w:r>
            <w:r w:rsidR="00923068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(1kpl.)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4726DC" w:rsidP="004726DC">
            <w:pPr>
              <w:pStyle w:val="ust"/>
              <w:ind w:left="0" w:firstLine="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dopuszczalny termin gwarancji wynosi 24 lub 36 miesięcy.)</w:t>
            </w:r>
          </w:p>
        </w:tc>
      </w:tr>
    </w:tbl>
    <w:p w:rsidR="009A689D" w:rsidRPr="004726DC" w:rsidRDefault="009A689D" w:rsidP="004726DC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2.8. posiadamy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4726DC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11</w:t>
      </w:r>
      <w:r w:rsidR="00316D3E">
        <w:rPr>
          <w:rFonts w:asciiTheme="minorHAnsi" w:hAnsiTheme="minorHAnsi" w:cs="Arial"/>
          <w:sz w:val="22"/>
          <w:szCs w:val="22"/>
        </w:rPr>
        <w:t>/2017</w:t>
      </w:r>
      <w:r w:rsidR="00316D3E">
        <w:rPr>
          <w:rFonts w:asciiTheme="minorHAnsi" w:hAnsiTheme="minorHAnsi" w:cs="Arial"/>
          <w:sz w:val="22"/>
          <w:szCs w:val="22"/>
        </w:rPr>
        <w:tab/>
      </w:r>
      <w:r w:rsidR="00316D3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60319" w:rsidRDefault="00460319" w:rsidP="004726DC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zes</w:t>
            </w:r>
            <w:r w:rsidR="005F6434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 xml:space="preserve">tawu </w:t>
            </w:r>
            <w:r w:rsidR="004726DC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endoskopowego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957B6E" w:rsidRDefault="00957B6E" w:rsidP="00E45C19"/>
    <w:p w:rsidR="00542B10" w:rsidRDefault="00542B10" w:rsidP="00E45C19"/>
    <w:p w:rsidR="00542B10" w:rsidRDefault="00542B10" w:rsidP="00E45C19"/>
    <w:p w:rsidR="00542B10" w:rsidRDefault="00542B10" w:rsidP="00E45C19"/>
    <w:p w:rsidR="00542B10" w:rsidRDefault="00542B10" w:rsidP="00E45C19"/>
    <w:p w:rsidR="00542B10" w:rsidRPr="004F2C41" w:rsidRDefault="00542B10" w:rsidP="00542B10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2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542B10" w:rsidRPr="00CF471F" w:rsidTr="00D37E48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42B10" w:rsidRPr="004F2C41" w:rsidTr="00D37E48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42B10" w:rsidRPr="004F2C41" w:rsidTr="00D37E48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42B10" w:rsidRPr="004F2C41" w:rsidTr="00D37E48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60319" w:rsidRDefault="00542B10" w:rsidP="004726DC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4726DC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wieży laparoskopowej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E00481" w:rsidRDefault="00542B10" w:rsidP="00D37E48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E00481" w:rsidRDefault="00542B10" w:rsidP="00D37E48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B10" w:rsidRPr="004F2C41" w:rsidTr="00D37E48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542B10" w:rsidRPr="004F2C41" w:rsidRDefault="00542B10" w:rsidP="00D37E48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Pr="00EF0C34" w:rsidRDefault="00542B10" w:rsidP="00542B10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42B10" w:rsidRPr="00EF0C34" w:rsidRDefault="00542B10" w:rsidP="00542B10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42B10" w:rsidRDefault="00542B10" w:rsidP="00542B10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42B10" w:rsidRDefault="00542B10" w:rsidP="00542B10"/>
    <w:p w:rsidR="00542B10" w:rsidRDefault="00542B10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542B10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11</w:t>
      </w:r>
      <w:r w:rsidR="00460319" w:rsidRPr="0026020C">
        <w:rPr>
          <w:rFonts w:ascii="Times New Roman" w:hAnsi="Times New Roman"/>
          <w:i w:val="0"/>
          <w:szCs w:val="24"/>
        </w:rPr>
        <w:t>/201</w:t>
      </w:r>
      <w:r w:rsidR="00460319">
        <w:rPr>
          <w:rFonts w:ascii="Times New Roman" w:hAnsi="Times New Roman"/>
          <w:i w:val="0"/>
          <w:szCs w:val="24"/>
        </w:rPr>
        <w:t>7</w:t>
      </w:r>
      <w:r w:rsidR="00460319" w:rsidRPr="0026020C">
        <w:rPr>
          <w:rFonts w:ascii="Times New Roman" w:hAnsi="Times New Roman"/>
          <w:i w:val="0"/>
          <w:szCs w:val="24"/>
        </w:rPr>
        <w:tab/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460319">
        <w:rPr>
          <w:rFonts w:ascii="Times New Roman" w:hAnsi="Times New Roman"/>
          <w:bCs/>
          <w:i w:val="0"/>
          <w:szCs w:val="24"/>
        </w:rPr>
        <w:t>3a</w:t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460319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076B7" w:rsidRDefault="00EA73CA" w:rsidP="00EA73CA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1 – </w:t>
      </w:r>
      <w:r w:rsidRPr="005076B7">
        <w:rPr>
          <w:rFonts w:asciiTheme="minorHAnsi" w:hAnsiTheme="minorHAnsi"/>
          <w:b/>
        </w:rPr>
        <w:t>Zestaw endoskopowy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EA73CA" w:rsidRPr="005076B7" w:rsidRDefault="00EA73CA" w:rsidP="00EA73C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EA73CA" w:rsidRPr="004726DC" w:rsidTr="00EA73CA">
        <w:trPr>
          <w:trHeight w:val="521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trHeight w:val="540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EA73CA" w:rsidRPr="004726DC" w:rsidTr="00EA73CA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EA73CA" w:rsidRPr="004726DC" w:rsidTr="00EA73CA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EA73CA" w:rsidRPr="004726DC" w:rsidTr="00EA73CA">
        <w:trPr>
          <w:cantSplit/>
          <w:trHeight w:val="32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Procesor obrazu</w:t>
            </w: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4726D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Standard obrazowania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B543A8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Cyfrowe wyjścia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DVI-D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2X HD-SDI,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Wyjścia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wideo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standard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S-video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Composite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Polskie czcionki Komunikatów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używania znaków diakrytycznych (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ą,ę,ć,ł,ń,ó,ż,ź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przysłony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Auto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średni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 w:cs="Arial"/>
                <w:lang w:val="en-US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  <w:r w:rsidRPr="004726D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Filtr ograniczający widmo światła czerwonego – uwydatniający naczynia oraz zmiany.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Równoczesny - optyczny i cyfrowy – 10 pkt.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Wbudowana lampa LED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lastRenderedPageBreak/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Ręczna regulacja mocy światła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Insuflacja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Gastroskop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Grubość całej sondy endoskopowej –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Max.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 2,8mm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Zginanie końcówki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210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D:90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Ilość przycisków dowolnie programowalnych 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1070 mm (+/- 40mm)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 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726DC">
              <w:rPr>
                <w:rFonts w:asciiTheme="minorHAnsi" w:hAnsiTheme="minorHAnsi" w:cs="Arial"/>
                <w:b/>
                <w:bCs/>
              </w:rPr>
              <w:t>Kolonoskop</w:t>
            </w:r>
            <w:proofErr w:type="spellEnd"/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eastAsia="MS Mincho" w:hAnsiTheme="minorHAnsi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726DC">
              <w:rPr>
                <w:rFonts w:asciiTheme="minorHAnsi" w:hAnsiTheme="minorHAnsi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końcówki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3,7 mm (+/- 1mm)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Zginanie końcówki Endoskopu: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 xml:space="preserve">, 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Kanał irygacyjny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</w:t>
            </w:r>
            <w:r w:rsidR="008A2C40">
              <w:rPr>
                <w:rFonts w:asciiTheme="minorHAnsi" w:hAnsiTheme="minorHAnsi"/>
              </w:rPr>
              <w:t xml:space="preserve">, w pełni </w:t>
            </w:r>
            <w:proofErr w:type="spellStart"/>
            <w:r w:rsidR="008A2C40">
              <w:rPr>
                <w:rFonts w:asciiTheme="minorHAnsi" w:hAnsiTheme="minorHAnsi"/>
              </w:rPr>
              <w:t>szczotkowalny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Ilość przycisków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 – 1680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1680 mm (+/- 80mm)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lastRenderedPageBreak/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Pompa płucząca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klasy medycznej, sterowane przez mikroprocesor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Urządzenie przeznaczone do pracy z endoskopami giętkimi posiadającymi kanał irygacyjny lub roboczy takimi jak:  gastroskopy, </w:t>
            </w:r>
            <w:proofErr w:type="spellStart"/>
            <w:r w:rsidRPr="004726DC">
              <w:rPr>
                <w:rFonts w:asciiTheme="minorHAnsi" w:hAnsiTheme="minorHAnsi"/>
              </w:rPr>
              <w:t>kolonoskopy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duodenoskopy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endosonografy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umożliwia spłukanie pola widzenia przez dedykowany kanał irygacyjny jak również przez 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Wyświetlacz LED wskazujący aktualną moc pompy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Funkcja płukania przez kanał roboczy lub dodatkowy kanał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Możliwość podłączenia do oferowanego wózka endoskopowego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Możliwość sterowania za pomocą sterownika nożnego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"trybu gotowości" , w celu wymiany rurki do podawania wody bez potrzeby wyłączania urządzenia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zabezpieczająca przed nadmiernym podawaniem płynu podczas zabiegu - wyłączenie po 20 s. ciągłej pracy.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Regulacja mocy przepływu – 9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Maksymalny przepływ:  700-750 ml/min dla kanału roboczego,  ~ 230 ml/min dla kanału pomocniczego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Pojemnik na wodę  min. 1 l, </w:t>
            </w:r>
            <w:proofErr w:type="spellStart"/>
            <w:r w:rsidRPr="004726DC">
              <w:rPr>
                <w:rFonts w:asciiTheme="minorHAnsi" w:hAnsiTheme="minorHAnsi"/>
              </w:rPr>
              <w:t>autoklawowalny</w:t>
            </w:r>
            <w:proofErr w:type="spellEnd"/>
            <w:r w:rsidRPr="004726DC">
              <w:rPr>
                <w:rFonts w:asciiTheme="minorHAnsi" w:hAnsiTheme="minorHAnsi"/>
              </w:rPr>
              <w:t xml:space="preserve"> z oznaczeniami wskazującymi poziom wody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Koryto na zbiornik z wodą zintegrowane z pompą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Wymiary umożliwiające ustawienie na oferowanym wózku endoskopowym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 zestawie komplet sterylnych drenów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eastAsia="Batang" w:hAnsiTheme="minorHAnsi" w:cs="Arial"/>
                <w:b/>
              </w:rPr>
              <w:t>Monitor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884934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Przekątna min 24 cali z matrycą LED lub LCD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Kąt widzenia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170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Kompatybilność z oferowanym procesorem za pomocą złącza DVI-D lub HD-SDI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Jasność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250 cd/m2,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Kontrast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 1000:1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Mocowanie do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standard </w:t>
            </w:r>
            <w:proofErr w:type="spellStart"/>
            <w:r w:rsidRPr="004726DC">
              <w:rPr>
                <w:rFonts w:asciiTheme="minorHAnsi" w:hAnsiTheme="minorHAnsi"/>
                <w:lang w:eastAsia="pl-PL"/>
              </w:rPr>
              <w:t>Vesa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Matryca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16,8 mln kolorów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 xml:space="preserve">Rozdzielczość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 xml:space="preserve">Min. </w:t>
            </w:r>
            <w:r w:rsidRPr="004726DC">
              <w:rPr>
                <w:rFonts w:asciiTheme="minorHAnsi" w:hAnsiTheme="minorHAnsi"/>
              </w:rPr>
              <w:t>1920 x 1080.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pStyle w:val="Tekstpodstawowy"/>
              <w:snapToGrid w:val="0"/>
              <w:ind w:left="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433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b/>
                <w:lang w:eastAsia="pl-PL"/>
              </w:rPr>
              <w:t>Wózek endoskopowy medyczny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lastRenderedPageBreak/>
              <w:t>75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Podstawa jezdna z blokadą 4 kół,</w:t>
            </w:r>
          </w:p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- 4 podwójne koła skrętne na każdej krawędzi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ustawienia zestawu do wideo endoskopii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Centralna listwa zasilająca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8 gniazd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Ruchomy wysięgnik do mocowania monitora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Teleskopowy wieszak na endoskopy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Wieszak na min. 2 endoskopy z możliwością montażu z lewej lub prawej strony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Waga wózka 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klawiaturę sterującą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akcesoria endoskopowe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archiwizacji badań endoskopowych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cyfrowej archiwizacji badań endoskopowych w postaci dokumentacji opisowej i obrazowej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rejestracji obrazów medycznych niezależnie od sposobu zapisu: analogowo oraz cyfrowo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pracy w wersji dwustanowiskowej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Wyposażony w bazę danych umożliwiającą prowadzenie kartoteki pacjenta, przetwarzanie jego danych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podłączenia do systemu archiwizacji działającego w szpitalu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Wydruki badań z wybranymi obrazami zarejestrowanymi podczas badania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Analiza zdjęć oraz sekwencji video oraz ich archiwizacja wraz z bazą danych pacjentów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Baza kodów ICD9 i ICD10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archiwizacji na nośnikach: CD/DVD , Pendrive, serwerach plików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6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integracji z zewnętrznym medycznym systemem informatycznymi typu HIS/RIS/PACS znajdującymi się w placówce, program dający możliwość  integracji poprzez medyczne formaty wymiany danych HL7 i DICOM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 zestawie komputer klasy PC, UPS oraz okablowanie niezbędne do uruchomienia systemu,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</w:tbl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EA73CA">
      <w:pPr>
        <w:rPr>
          <w:b/>
        </w:rPr>
      </w:pPr>
    </w:p>
    <w:p w:rsidR="00EA73CA" w:rsidRPr="00C359E0" w:rsidRDefault="00EA73CA" w:rsidP="00EA73CA">
      <w:pPr>
        <w:rPr>
          <w:b/>
        </w:rPr>
      </w:pPr>
    </w:p>
    <w:p w:rsidR="00EA73CA" w:rsidRPr="00EF0C34" w:rsidRDefault="00EA73CA" w:rsidP="00EA73C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EA73CA" w:rsidRPr="00EF0C34" w:rsidRDefault="00EA73CA" w:rsidP="00EA73C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726DC" w:rsidRDefault="004726DC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4726DC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542B10" w:rsidRPr="0026020C" w:rsidRDefault="00542B10" w:rsidP="00542B10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11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3a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4F2C41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542B10" w:rsidRPr="005076B7" w:rsidRDefault="00542B10" w:rsidP="00542B10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</w:t>
      </w:r>
      <w:r w:rsidR="00D37E48">
        <w:rPr>
          <w:rFonts w:asciiTheme="minorHAnsi" w:hAnsiTheme="minorHAnsi"/>
          <w:b/>
          <w:bCs/>
        </w:rPr>
        <w:t>2</w:t>
      </w:r>
      <w:r w:rsidRPr="005076B7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</w:rPr>
        <w:t>Wieża laparoskopowa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460319" w:rsidRPr="004F2C41" w:rsidRDefault="00460319" w:rsidP="004603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6B5248" w:rsidTr="0092666B">
        <w:trPr>
          <w:trHeight w:val="521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6B5248" w:rsidRDefault="00460319" w:rsidP="00926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6B5248" w:rsidTr="0092666B">
        <w:trPr>
          <w:trHeight w:val="540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7B4656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884934" w:rsidRPr="007B4656" w:rsidTr="00884934">
        <w:trPr>
          <w:cantSplit/>
          <w:trHeight w:val="40"/>
        </w:trPr>
        <w:tc>
          <w:tcPr>
            <w:tcW w:w="10187" w:type="dxa"/>
            <w:gridSpan w:val="3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884934" w:rsidRPr="007B4656" w:rsidRDefault="000C74E5" w:rsidP="0092666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Procesor Kamery (1kpl) </w:t>
            </w: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884934" w:rsidRPr="004D29B4" w:rsidRDefault="00884934" w:rsidP="00884934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29B4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884934" w:rsidRPr="004D29B4" w:rsidRDefault="00884934" w:rsidP="00884934">
            <w:pPr>
              <w:rPr>
                <w:rFonts w:asciiTheme="minorHAnsi" w:hAnsiTheme="minorHAnsi" w:cs="Arial"/>
              </w:rPr>
            </w:pPr>
            <w:r w:rsidRPr="004D29B4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</w:tcPr>
          <w:p w:rsidR="00884934" w:rsidRPr="000C74E5" w:rsidRDefault="00884934" w:rsidP="00884934">
            <w:pPr>
              <w:rPr>
                <w:rFonts w:asciiTheme="minorHAnsi" w:hAnsiTheme="minorHAnsi"/>
              </w:rPr>
            </w:pPr>
            <w:r w:rsidRPr="000C74E5">
              <w:rPr>
                <w:rFonts w:asciiTheme="minorHAnsi" w:hAnsiTheme="minorHAnsi" w:cs="Calibri"/>
                <w:bCs/>
                <w:color w:val="000000"/>
              </w:rPr>
              <w:t xml:space="preserve">Procesor kamery Full HDTV </w:t>
            </w:r>
            <w:r w:rsidRPr="000C74E5">
              <w:rPr>
                <w:rFonts w:asciiTheme="minorHAnsi" w:hAnsiTheme="minorHAnsi" w:cs="Calibri"/>
                <w:color w:val="000000"/>
              </w:rPr>
              <w:t>(obsłu</w:t>
            </w:r>
            <w:r w:rsidR="000C74E5" w:rsidRPr="000C74E5">
              <w:rPr>
                <w:rFonts w:asciiTheme="minorHAnsi" w:hAnsiTheme="minorHAnsi" w:cs="Calibri"/>
                <w:color w:val="000000"/>
              </w:rPr>
              <w:t>giwane rozdzielczości 1920x1080</w:t>
            </w:r>
            <w:r w:rsidRPr="000C74E5">
              <w:rPr>
                <w:rFonts w:asciiTheme="minorHAnsi" w:hAnsiTheme="minorHAnsi" w:cs="Calibri"/>
                <w:color w:val="000000"/>
              </w:rPr>
              <w:t xml:space="preserve">, WUXGA, SXGA) </w:t>
            </w:r>
            <w:r w:rsidRPr="000C74E5">
              <w:rPr>
                <w:rFonts w:asciiTheme="minorHAnsi" w:hAnsiTheme="minorHAnsi" w:cs="Calibri"/>
                <w:bCs/>
                <w:color w:val="000000"/>
              </w:rPr>
              <w:t xml:space="preserve">zintegrowany ze </w:t>
            </w:r>
            <w:proofErr w:type="spellStart"/>
            <w:r w:rsidRPr="000C74E5">
              <w:rPr>
                <w:rFonts w:asciiTheme="minorHAnsi" w:hAnsiTheme="minorHAnsi" w:cs="Calibri"/>
                <w:bCs/>
                <w:color w:val="000000"/>
              </w:rPr>
              <w:t>źródlem</w:t>
            </w:r>
            <w:proofErr w:type="spellEnd"/>
            <w:r w:rsidRPr="000C74E5">
              <w:rPr>
                <w:rFonts w:asciiTheme="minorHAnsi" w:hAnsiTheme="minorHAnsi" w:cs="Calibri"/>
                <w:bCs/>
                <w:color w:val="000000"/>
              </w:rPr>
              <w:t xml:space="preserve"> światła LED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Wbudowany panel dotykowy do sterowania urządzeniem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ustawienia stosunku boków obrazu endoskopowego HDTV w skali 16:9, 16:10, 4:3 oraz 5:4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Źródło światła LED z czterema diodami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wyboru automatycznego włączenia lampy razem ze sterownikiem - funkcja włączona lub wyłączona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Włącznik/wyłącznik  ze wskaźnikiem stanu lampy na panelu dotykowym urządzenia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podśluzówkowej</w:t>
            </w:r>
            <w:proofErr w:type="spellEnd"/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kompatybilny z funkcją obrazowania w podczerwieni IR</w:t>
            </w:r>
          </w:p>
        </w:tc>
        <w:tc>
          <w:tcPr>
            <w:tcW w:w="4178" w:type="dxa"/>
            <w:shd w:val="clear" w:color="auto" w:fill="auto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118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podłączenia głowicy kamery trójprzetwornikowej oraz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wideoendoskopów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z  przetwornikiem wbudowanym w końcówkę dystalną: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wideocystoskopu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HD,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wideoureterorenoskopu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oraz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wideoendoskopów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laryngologicznych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Dedykowany program do obserwacji przy pomocy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wideocystoskopu</w:t>
            </w:r>
            <w:proofErr w:type="spellEnd"/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Tryb "laser" - do pracy z laserem do zastosowań endoskopowych; zapobiega rozmyciu obrazu podczas pracy lasera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podłączenia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wideolaparoskopów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HD ze stałym lub zmiennym kątem patrzenia, z przetwornikami CCD wbudowanymi w końcówkę dystalną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Wyjścia cyfrowe 2x HD-SDI oraz 1xDVI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Wyjścia analogowe: 1xCOMP, 1xY/C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0C74E5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Gniazdo USB do podłączenia opcjonalnej klawiatury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Gniazdo przyłączeniowe włącznika nożnego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Gniazda (2x) do podłączenia sterowania urządzeniami peryferyjnymi np. zewnętrzny archiwizator danych, drukarka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Gniazdo USB do podłączenia pamięci zewnętrznej typu Flash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Pamięć zewnętrzna w komplecie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Pamięć wewnętrzna urządzenia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0C74E5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Format zapisywania plików: jpg oraz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tiff</w:t>
            </w:r>
            <w:proofErr w:type="spellEnd"/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Rozdzielczość zapisywanych obrazów: SD, HD, obydwa formaty: HD i SD</w:t>
            </w:r>
          </w:p>
        </w:tc>
        <w:tc>
          <w:tcPr>
            <w:tcW w:w="4178" w:type="dxa"/>
          </w:tcPr>
          <w:p w:rsidR="00884934" w:rsidRPr="005F6434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5434" w:type="dxa"/>
            <w:vAlign w:val="center"/>
          </w:tcPr>
          <w:p w:rsidR="00884934" w:rsidRPr="000C74E5" w:rsidRDefault="000C74E5" w:rsidP="0088493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</w:t>
            </w:r>
            <w:r w:rsidR="00884934" w:rsidRPr="000C74E5">
              <w:rPr>
                <w:rFonts w:asciiTheme="minorHAnsi" w:hAnsiTheme="minorHAnsi" w:cs="Calibri"/>
                <w:color w:val="000000"/>
              </w:rPr>
              <w:t>ożliwość automatycznego skasowania obrazów nieprzesłanych do pamięci przenośnej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Automatyczny dobór ekspozycji (17 stopni)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 zestawie przewód sygnałowy SDI dł. 2,5m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rotacji obrazu o 180 stopni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cyfrowego przybliżenia obrazu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Automatyczne dostosowywanie jasności obrazu w trybach światła białego, podczerwieni i obrazowania wąską wi</w:t>
            </w:r>
            <w:r w:rsidR="000C74E5">
              <w:rPr>
                <w:rFonts w:asciiTheme="minorHAnsi" w:hAnsiTheme="minorHAnsi" w:cs="Calibri"/>
                <w:color w:val="000000"/>
              </w:rPr>
              <w:t>ązką światła z dostosowaniem min. 10</w:t>
            </w:r>
            <w:r w:rsidRPr="000C74E5">
              <w:rPr>
                <w:rFonts w:asciiTheme="minorHAnsi" w:hAnsiTheme="minorHAnsi" w:cs="Calibri"/>
                <w:color w:val="000000"/>
              </w:rPr>
              <w:t>-stopniowym w podstawowym menu panelu dotykowego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Automatyczne dostosowanie jasności w przedziale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min. </w:t>
            </w:r>
            <w:r w:rsidRPr="000C74E5">
              <w:rPr>
                <w:rFonts w:asciiTheme="minorHAnsi" w:hAnsiTheme="minorHAnsi" w:cs="Calibri"/>
                <w:color w:val="000000"/>
              </w:rPr>
              <w:t>od -8 do +8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Ręczne dostosowanie jasności obrazu w przedziale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min. od </w:t>
            </w:r>
            <w:r w:rsidRPr="000C74E5">
              <w:rPr>
                <w:rFonts w:asciiTheme="minorHAnsi" w:hAnsiTheme="minorHAnsi" w:cs="Calibri"/>
                <w:color w:val="000000"/>
              </w:rPr>
              <w:t>-17 do +17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0C74E5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dostosowania kolorów obrazu (czerwony, niebieski, chroma) w skali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 </w:t>
            </w:r>
            <w:r w:rsidRPr="000C74E5">
              <w:rPr>
                <w:rFonts w:asciiTheme="minorHAnsi" w:hAnsiTheme="minorHAnsi" w:cs="Calibri"/>
                <w:color w:val="000000"/>
              </w:rPr>
              <w:t>ośmiostopniowej (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min. </w:t>
            </w:r>
            <w:r w:rsidRPr="000C74E5">
              <w:rPr>
                <w:rFonts w:asciiTheme="minorHAnsi" w:hAnsiTheme="minorHAnsi" w:cs="Calibri"/>
                <w:color w:val="000000"/>
              </w:rPr>
              <w:t>od -8 do +8)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3 tryby kolorów dla obrazowania w świetle białym oraz 4 tryby kolorów obrazowania w obrazowania w wąskim paśmie światła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0C74E5">
              <w:rPr>
                <w:rFonts w:asciiTheme="minorHAnsi" w:hAnsiTheme="minorHAnsi" w:cs="Calibri"/>
                <w:color w:val="000000"/>
              </w:rPr>
              <w:t xml:space="preserve">(Auto,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Mode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1-3)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2 tryby kolorów do wyboru w trybie obserwacji IR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0C74E5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przypisania ustawień dla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 </w:t>
            </w:r>
            <w:r w:rsidRPr="000C74E5">
              <w:rPr>
                <w:rFonts w:asciiTheme="minorHAnsi" w:hAnsiTheme="minorHAnsi" w:cs="Calibri"/>
                <w:color w:val="000000"/>
              </w:rPr>
              <w:t>20 użytkowników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zapisu profilu użytkownika na pamięci zewnętrznej i zaimportowania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wprowadzenia danych pacjenta za pomocą panelu dotykowego, opcjonalnej klawiatury lub zaimportowa</w:t>
            </w:r>
            <w:r w:rsidR="000C74E5">
              <w:rPr>
                <w:rFonts w:asciiTheme="minorHAnsi" w:hAnsiTheme="minorHAnsi" w:cs="Calibri"/>
                <w:color w:val="000000"/>
              </w:rPr>
              <w:t>nia z pamięci przenośnej (min. do 50</w:t>
            </w:r>
            <w:r w:rsidRPr="000C74E5">
              <w:rPr>
                <w:rFonts w:asciiTheme="minorHAnsi" w:hAnsiTheme="minorHAnsi" w:cs="Calibri"/>
                <w:color w:val="000000"/>
              </w:rPr>
              <w:t xml:space="preserve"> rekordów)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wyświetlenia danych pacjenta i stanu systemu endoskopowego na ekranie monitora podczas zabiegu z opcjami włącz/wyłącz wyświetlanie oraz dostosowania ilości wyświetlanych danych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ochrony danych hasłem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Dane (rekord) pacjenta zawierają m.in. datę badania, nazwisko, ID, datę urodzenia, wiek, płeć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Dane systemu zawierają m.in. stan pamięci wewnętrznej i przenośnej, stosowane funkcje wzmocnienia obrazu, tryb koloru, tryb obserwacji, nagrywanie, komentarz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ustawienia rozmiaru i koloru czcionki oraz pozycji komunikatów i danych na ekranie monitora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Trzy wartości ustawienia przysłony - automatyczne, z pomiarem w centrum obrazu oraz na całej powierzchni obrazu endoskopowego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Trzy tryby ustawienia przysłony: automatyczny, średni, szczytowy (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peak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Trzy obszary pomiaru dla przysłony: auto, w centrum, na całości obrazu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Dwa tryby ustawienia czułości przesłony: wysoki (szybka reakcja) i niski (wolna reakcja)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3 stopnie wzmocnienia obrazu dla obrazowania w świetle białym, w trybie podczerwieni oraz w obrazowaniu wąską wiązką światła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Wzmocnienie strukturalne obrazu (2 tryby ośmiostopniowe) oraz wzmocnienie w rogach obrazu (tryb ośmiostopniowy)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50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Filtr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moire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- dwustopniowy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3 stopnie regulacji kontrastu (wysoki, średni, niski)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Możliowość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ustawienia czasu ekspozycji w trybie podczerwieni IR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aktywacji balansu bieli ze sterownika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wyświetlenia obrazu kontrolnego kolorów on/off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Automatyczne wzmocnienie obrazu AGC z opcją regulacji - funkcja elektronicznego rozjaśnienia obrazu endoskopowego z redukcją szumu (6dB-18dB)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Wyświetlanie informacji o podłączonej głowicy kamery lub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wideolaparoskopie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(model, SN, funkcje przypisane do przycisków, nazwa własna ustawień)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wyświetlenia wskaźnika strzałkowego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</w:p>
        </w:tc>
        <w:tc>
          <w:tcPr>
            <w:tcW w:w="5434" w:type="dxa"/>
            <w:vAlign w:val="center"/>
          </w:tcPr>
          <w:p w:rsidR="00884934" w:rsidRPr="009B1761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Wyświetlanie kodów błędów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</w:t>
            </w:r>
          </w:p>
        </w:tc>
        <w:tc>
          <w:tcPr>
            <w:tcW w:w="5434" w:type="dxa"/>
            <w:vAlign w:val="center"/>
          </w:tcPr>
          <w:p w:rsidR="00884934" w:rsidRPr="009B1761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Ustawienie języka menu, daty, czasu, formatu daty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5434" w:type="dxa"/>
            <w:vAlign w:val="center"/>
          </w:tcPr>
          <w:p w:rsidR="00884934" w:rsidRPr="009B1761" w:rsidRDefault="000C74E5" w:rsidP="00884934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Zabezpieczanie</w:t>
            </w:r>
            <w:r w:rsidR="00884934" w:rsidRPr="009B1761">
              <w:rPr>
                <w:rFonts w:asciiTheme="minorHAnsi" w:hAnsiTheme="minorHAnsi" w:cs="Calibri"/>
                <w:color w:val="000000"/>
              </w:rPr>
              <w:t xml:space="preserve"> przed porażeniem </w:t>
            </w:r>
            <w:r w:rsidRPr="009B1761">
              <w:rPr>
                <w:rFonts w:asciiTheme="minorHAnsi" w:hAnsiTheme="minorHAnsi" w:cs="Calibri"/>
                <w:color w:val="000000"/>
              </w:rPr>
              <w:t>elektrycznym</w:t>
            </w:r>
            <w:r w:rsidR="00884934" w:rsidRPr="009B1761">
              <w:rPr>
                <w:rFonts w:asciiTheme="minorHAnsi" w:hAnsiTheme="minorHAnsi" w:cs="Calibri"/>
                <w:color w:val="000000"/>
              </w:rPr>
              <w:t xml:space="preserve"> - klasa 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0C74E5" w:rsidRPr="007B4656" w:rsidTr="000C74E5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0C74E5" w:rsidRPr="009B1761" w:rsidRDefault="000C74E5" w:rsidP="000C74E5">
            <w:pPr>
              <w:jc w:val="center"/>
              <w:rPr>
                <w:rFonts w:asciiTheme="minorHAnsi" w:hAnsiTheme="minorHAnsi" w:cs="Arial"/>
              </w:rPr>
            </w:pPr>
            <w:r w:rsidRPr="009B1761">
              <w:rPr>
                <w:rFonts w:asciiTheme="minorHAnsi" w:eastAsia="Batang" w:hAnsiTheme="minorHAnsi" w:cs="Arial"/>
                <w:b/>
              </w:rPr>
              <w:t>Monitor</w:t>
            </w:r>
          </w:p>
        </w:tc>
      </w:tr>
      <w:tr w:rsidR="00B45B3C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B45B3C" w:rsidRPr="007B4656" w:rsidRDefault="009B1761" w:rsidP="00B45B3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</w:t>
            </w:r>
          </w:p>
        </w:tc>
        <w:tc>
          <w:tcPr>
            <w:tcW w:w="5434" w:type="dxa"/>
            <w:vAlign w:val="center"/>
          </w:tcPr>
          <w:p w:rsidR="00B45B3C" w:rsidRPr="009B1761" w:rsidRDefault="00B45B3C" w:rsidP="00B45B3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B45B3C" w:rsidRPr="007B4656" w:rsidRDefault="00B45B3C" w:rsidP="00B45B3C">
            <w:pPr>
              <w:rPr>
                <w:rFonts w:asciiTheme="minorHAnsi" w:hAnsiTheme="minorHAnsi" w:cs="Arial"/>
              </w:rPr>
            </w:pPr>
          </w:p>
        </w:tc>
      </w:tr>
      <w:tr w:rsidR="00B45B3C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B45B3C" w:rsidRPr="007B4656" w:rsidRDefault="009B1761" w:rsidP="00B45B3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</w:p>
        </w:tc>
        <w:tc>
          <w:tcPr>
            <w:tcW w:w="5434" w:type="dxa"/>
            <w:vAlign w:val="center"/>
          </w:tcPr>
          <w:p w:rsidR="00B45B3C" w:rsidRPr="009B1761" w:rsidRDefault="00B45B3C" w:rsidP="00B45B3C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B45B3C" w:rsidRPr="007B4656" w:rsidRDefault="00B45B3C" w:rsidP="00B45B3C">
            <w:pPr>
              <w:rPr>
                <w:rFonts w:asciiTheme="minorHAnsi" w:hAnsiTheme="minorHAnsi" w:cs="Arial"/>
              </w:rPr>
            </w:pPr>
          </w:p>
        </w:tc>
      </w:tr>
      <w:tr w:rsidR="00B45B3C" w:rsidRPr="00B543A8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B45B3C" w:rsidRPr="007B4656" w:rsidRDefault="009B1761" w:rsidP="00B45B3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</w:t>
            </w:r>
          </w:p>
        </w:tc>
        <w:tc>
          <w:tcPr>
            <w:tcW w:w="5434" w:type="dxa"/>
          </w:tcPr>
          <w:p w:rsidR="00B45B3C" w:rsidRPr="009B1761" w:rsidRDefault="00B45B3C" w:rsidP="00B45B3C">
            <w:pPr>
              <w:rPr>
                <w:rFonts w:asciiTheme="minorHAnsi" w:hAnsiTheme="minorHAnsi"/>
                <w:lang w:val="en-US"/>
              </w:rPr>
            </w:pPr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Monitor 26" LED Full HDTV (1920x1200),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>posiadający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>wejścia:HD-SDI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(2), RGBS,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>YPbPr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 , SOG, DVI(2), VGA, S-Video, Composite</w:t>
            </w:r>
          </w:p>
        </w:tc>
        <w:tc>
          <w:tcPr>
            <w:tcW w:w="4178" w:type="dxa"/>
          </w:tcPr>
          <w:p w:rsidR="00B45B3C" w:rsidRPr="00B45B3C" w:rsidRDefault="00B45B3C" w:rsidP="00B45B3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127AA7" w:rsidRPr="00B45B3C" w:rsidTr="009B1761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127AA7" w:rsidRPr="009B1761" w:rsidRDefault="00127AA7" w:rsidP="00127AA7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9B1761">
              <w:rPr>
                <w:rFonts w:asciiTheme="minorHAnsi" w:hAnsiTheme="minorHAnsi" w:cs="Calibri"/>
                <w:b/>
                <w:color w:val="000000"/>
              </w:rPr>
              <w:t>Głowica kamery endoskopowej</w:t>
            </w:r>
            <w:r w:rsidR="009B1761" w:rsidRPr="009B1761">
              <w:rPr>
                <w:rFonts w:asciiTheme="minorHAnsi" w:hAnsiTheme="minorHAnsi" w:cs="Calibri"/>
                <w:b/>
                <w:color w:val="000000"/>
              </w:rPr>
              <w:t xml:space="preserve"> – 1szt.</w:t>
            </w: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B45B3C" w:rsidRDefault="009B1761" w:rsidP="009B1761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64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5434" w:type="dxa"/>
          </w:tcPr>
          <w:p w:rsidR="009B1761" w:rsidRPr="009B1761" w:rsidRDefault="009B1761" w:rsidP="009B1761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Głowica kamery endoskopowej Full HD, trzyprzetwornikowa (3x CMOS); kompatybilna z technologią obrazowania w wąskim paśmie światła; 3</w:t>
            </w:r>
          </w:p>
          <w:p w:rsidR="009B1761" w:rsidRPr="009B1761" w:rsidRDefault="009B1761" w:rsidP="009B1761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programowalne przyciski funkcyjne; zoom optyczny (2x) oraz ostrość sterowane pokrętłami; zanurzalna w płynach</w:t>
            </w:r>
          </w:p>
          <w:p w:rsidR="009B1761" w:rsidRPr="009B1761" w:rsidRDefault="009B1761" w:rsidP="009B1761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9B1761">
              <w:rPr>
                <w:rFonts w:asciiTheme="minorHAnsi" w:hAnsiTheme="minorHAnsi" w:cs="Calibri"/>
                <w:color w:val="000000"/>
                <w:szCs w:val="20"/>
              </w:rPr>
              <w:t xml:space="preserve">dezynfekcyjnych; Możliwość sterylizacji w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>Sterrad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 xml:space="preserve"> i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>EtO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>; waga głowicy 220g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9B1761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9B1761" w:rsidRPr="009B1761" w:rsidRDefault="009B1761" w:rsidP="009B1761">
            <w:pPr>
              <w:jc w:val="center"/>
              <w:rPr>
                <w:rFonts w:asciiTheme="minorHAnsi" w:hAnsiTheme="minorHAnsi" w:cs="Arial"/>
                <w:b/>
              </w:rPr>
            </w:pPr>
            <w:r w:rsidRPr="009B1761">
              <w:rPr>
                <w:rFonts w:asciiTheme="minorHAnsi" w:hAnsiTheme="minorHAnsi" w:cs="Calibri"/>
                <w:b/>
                <w:color w:val="000000"/>
              </w:rPr>
              <w:t>Światłowód dla endoskopów – 1szt.</w:t>
            </w: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67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</w:t>
            </w:r>
          </w:p>
        </w:tc>
        <w:tc>
          <w:tcPr>
            <w:tcW w:w="5434" w:type="dxa"/>
          </w:tcPr>
          <w:p w:rsidR="009B1761" w:rsidRPr="009B1761" w:rsidRDefault="009B1761" w:rsidP="009B1761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Światłowód dla endoskopów/optyk o średnicy większych niż 4,1 mm, średnica wiązki 4,25 mm, średnica zewnętrzna 8,4mm, długość 3 m, waga 323 g;</w:t>
            </w:r>
          </w:p>
          <w:p w:rsidR="009B1761" w:rsidRPr="009B1761" w:rsidRDefault="009B1761" w:rsidP="009B1761">
            <w:pPr>
              <w:rPr>
                <w:rFonts w:asciiTheme="minorHAnsi" w:hAnsiTheme="minorHAnsi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 xml:space="preserve">obrotowe przyłącze od strony optyki zapobiegające niepożądanemu odłączeniu podczas manewrowania; konstrukcja bezpośrednio zgodna z trybem obrazowania w wąskim paśmie światła w dedykowanych źródłach światła 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D37E48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9B1761" w:rsidRPr="009B1761" w:rsidRDefault="009B1761" w:rsidP="009B176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9B1761">
              <w:rPr>
                <w:rFonts w:ascii="Calibri" w:hAnsi="Calibri" w:cs="Calibri"/>
                <w:b/>
                <w:bCs/>
                <w:color w:val="000000"/>
              </w:rPr>
              <w:t>Insuflator</w:t>
            </w:r>
            <w:proofErr w:type="spellEnd"/>
            <w:r w:rsidRPr="009B1761">
              <w:rPr>
                <w:rFonts w:ascii="Calibri" w:hAnsi="Calibri" w:cs="Calibri"/>
                <w:b/>
                <w:bCs/>
                <w:color w:val="000000"/>
              </w:rPr>
              <w:t xml:space="preserve"> wysokoprzepływowy z funkcją automatycznego oddymiania – 1kpl.</w:t>
            </w: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Przepływ dwutlenku węgla regulowany do 45 l/min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Dwustopniowa, automatyczna funkcja oddymiania pola operacyjnego za pomocą osobnego drenu (off oraz stopnie niski i wysoki); Regulacja opóźnienia zatrzymania funkcji automatycznego oddymiania w zakresie 0-10s. Instalacja drenu do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oddyminia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na panelu przednim urządzenia.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74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Alarm dźwiękowy i świetlny przekroczenia zadanego ciśnienia;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1761">
              <w:rPr>
                <w:rFonts w:ascii="Calibri" w:hAnsi="Calibri" w:cs="Calibri"/>
                <w:color w:val="000000"/>
              </w:rPr>
              <w:t xml:space="preserve">Możliwość aktywacji i dezaktywacji funkcji automatycznej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desuflacji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pacjenta po przekroczeniu zadanych parametrów ciśnienia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Wskaźnik słupkowy objętości zużytego gazu oraz aktualnych: przepływu i ciśnienia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Wskaźnik numeryczny dla zadanej wartości ciśnienia w mmHg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Wskaźniki numeryczne dla wartości aktualnych ciśnienia w mmHg oraz przepływu l/min.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78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Dreny i akcesoria, na wyposażeniu urządzenia: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autoklawowalne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niskociśnieniowe dren do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insuflacji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1 szt..; dren do oddymiania;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2 tryby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insuflacji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>: normalny i małych przestrzeni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81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3 tryby przepływu: niski, średni, wysoki.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82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Funkcja włącz/wyłącz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desuflację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po przekroczeniu zadanego parametru ciśnienia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Możliwość komunikacji z generatorem elektrochirurgicznym w celu aktywacji procesu oddymiania pola operacyjnego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5679CF">
              <w:rPr>
                <w:rFonts w:ascii="Calibri" w:hAnsi="Calibri" w:cs="Calibri"/>
                <w:color w:val="000000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86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bCs/>
                <w:color w:val="000000"/>
              </w:rPr>
            </w:pPr>
            <w:r w:rsidRPr="005679CF">
              <w:rPr>
                <w:rFonts w:ascii="Calibri" w:hAnsi="Calibri" w:cs="Calibri"/>
                <w:bCs/>
                <w:color w:val="000000"/>
              </w:rPr>
              <w:t>Przewód do podłączenia CO2(AGA) 1 szt.</w:t>
            </w:r>
          </w:p>
        </w:tc>
        <w:tc>
          <w:tcPr>
            <w:tcW w:w="4178" w:type="dxa"/>
          </w:tcPr>
          <w:p w:rsidR="005679CF" w:rsidRDefault="005679CF" w:rsidP="005679CF">
            <w:pPr>
              <w:pStyle w:val="Standard"/>
              <w:snapToGrid w:val="0"/>
              <w:ind w:left="360" w:hanging="360"/>
              <w:rPr>
                <w:color w:val="000000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87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bCs/>
                <w:color w:val="000000"/>
              </w:rPr>
            </w:pPr>
            <w:r w:rsidRPr="005679CF">
              <w:rPr>
                <w:rFonts w:ascii="Calibri" w:hAnsi="Calibri" w:cs="Calibri"/>
                <w:bCs/>
                <w:color w:val="000000"/>
              </w:rPr>
              <w:t xml:space="preserve">Przewód komunikacyjny </w:t>
            </w:r>
            <w:proofErr w:type="spellStart"/>
            <w:r w:rsidRPr="005679CF">
              <w:rPr>
                <w:rFonts w:ascii="Calibri" w:hAnsi="Calibri" w:cs="Calibri"/>
                <w:bCs/>
                <w:color w:val="000000"/>
              </w:rPr>
              <w:t>insuflator</w:t>
            </w:r>
            <w:proofErr w:type="spellEnd"/>
            <w:r w:rsidRPr="005679CF">
              <w:rPr>
                <w:rFonts w:ascii="Calibri" w:hAnsi="Calibri" w:cs="Calibri"/>
                <w:bCs/>
                <w:color w:val="000000"/>
              </w:rPr>
              <w:t>-diatermia 1szt.</w:t>
            </w:r>
          </w:p>
        </w:tc>
        <w:tc>
          <w:tcPr>
            <w:tcW w:w="4178" w:type="dxa"/>
          </w:tcPr>
          <w:p w:rsidR="005679CF" w:rsidRDefault="005679CF" w:rsidP="005679CF">
            <w:pPr>
              <w:pStyle w:val="Standard"/>
              <w:snapToGrid w:val="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bCs/>
                <w:color w:val="000000"/>
              </w:rPr>
            </w:pPr>
            <w:r w:rsidRPr="005679CF">
              <w:rPr>
                <w:rFonts w:ascii="Calibri" w:hAnsi="Calibri" w:cs="Calibri"/>
                <w:bCs/>
                <w:color w:val="000000"/>
              </w:rPr>
              <w:t xml:space="preserve">Filtr do </w:t>
            </w:r>
            <w:proofErr w:type="spellStart"/>
            <w:r w:rsidRPr="005679CF">
              <w:rPr>
                <w:rFonts w:ascii="Calibri" w:hAnsi="Calibri" w:cs="Calibri"/>
                <w:bCs/>
                <w:color w:val="000000"/>
              </w:rPr>
              <w:t>insuflatora</w:t>
            </w:r>
            <w:proofErr w:type="spellEnd"/>
            <w:r w:rsidRPr="005679CF">
              <w:rPr>
                <w:rFonts w:ascii="Calibri" w:hAnsi="Calibri" w:cs="Calibri"/>
                <w:bCs/>
                <w:color w:val="000000"/>
              </w:rPr>
              <w:t xml:space="preserve">; </w:t>
            </w:r>
            <w:r>
              <w:rPr>
                <w:rFonts w:ascii="Calibri" w:hAnsi="Calibri" w:cs="Calibri"/>
                <w:bCs/>
                <w:color w:val="000000"/>
              </w:rPr>
              <w:t xml:space="preserve">1 </w:t>
            </w:r>
            <w:r w:rsidRPr="005679CF">
              <w:rPr>
                <w:rFonts w:ascii="Calibri" w:hAnsi="Calibri" w:cs="Calibri"/>
                <w:bCs/>
                <w:color w:val="000000"/>
              </w:rPr>
              <w:t>op. 10szt.</w:t>
            </w:r>
          </w:p>
        </w:tc>
        <w:tc>
          <w:tcPr>
            <w:tcW w:w="4178" w:type="dxa"/>
          </w:tcPr>
          <w:p w:rsidR="005679CF" w:rsidRDefault="005679CF" w:rsidP="005679CF">
            <w:pPr>
              <w:pStyle w:val="Standard"/>
              <w:snapToGrid w:val="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79CF" w:rsidRPr="00127AA7" w:rsidTr="005679CF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5679CF" w:rsidRPr="00D37E48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 w:rsidRPr="00D37E48">
              <w:rPr>
                <w:rFonts w:asciiTheme="minorHAnsi" w:hAnsiTheme="minorHAnsi" w:cs="Calibri"/>
                <w:b/>
                <w:bCs/>
                <w:color w:val="000000"/>
              </w:rPr>
              <w:t xml:space="preserve">Pompa płucząca do histeroskopii – 1 </w:t>
            </w:r>
            <w:proofErr w:type="spellStart"/>
            <w:r w:rsidRPr="00D37E48">
              <w:rPr>
                <w:rFonts w:asciiTheme="minorHAnsi" w:hAnsiTheme="minorHAnsi" w:cs="Calibri"/>
                <w:b/>
                <w:bCs/>
                <w:color w:val="000000"/>
              </w:rPr>
              <w:t>kpl</w:t>
            </w:r>
            <w:proofErr w:type="spellEnd"/>
            <w:r w:rsidRPr="00D37E48">
              <w:rPr>
                <w:rFonts w:asciiTheme="minorHAnsi" w:hAnsiTheme="minorHAnsi" w:cs="Calibri"/>
                <w:b/>
                <w:bCs/>
                <w:color w:val="000000"/>
              </w:rPr>
              <w:t>.</w:t>
            </w: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C020BE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</w:t>
            </w:r>
          </w:p>
        </w:tc>
        <w:tc>
          <w:tcPr>
            <w:tcW w:w="5434" w:type="dxa"/>
            <w:vAlign w:val="center"/>
          </w:tcPr>
          <w:p w:rsidR="005679CF" w:rsidRPr="00D37E48" w:rsidRDefault="005679CF" w:rsidP="005679CF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37E48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5679CF" w:rsidRPr="00D37E48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C020BE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</w:p>
        </w:tc>
        <w:tc>
          <w:tcPr>
            <w:tcW w:w="5434" w:type="dxa"/>
            <w:vAlign w:val="center"/>
          </w:tcPr>
          <w:p w:rsidR="005679CF" w:rsidRPr="00D37E48" w:rsidRDefault="005679CF" w:rsidP="005679CF">
            <w:pPr>
              <w:rPr>
                <w:rFonts w:asciiTheme="minorHAnsi" w:hAnsiTheme="minorHAnsi" w:cs="Arial"/>
              </w:rPr>
            </w:pPr>
            <w:r w:rsidRPr="00D37E48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5679CF" w:rsidRPr="00D37E48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91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Pompa rolkowa, z zastosowaniem w histeroskopii o przepływie do 0,5l/min.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92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Dren wielorazowy z podłączeniem do dwóch worków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Możliwość ustawienia ciśnienia od 35mmHg do 150mmHg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Ciśnienie mierzone w granicach 0-750mmHg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95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Możliwość ustawienia przepływu w zakresie min. 0,03-0,5l/min.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96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Waga urządzenia do 6,5kg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97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Ekran dotykowy do sterownia pompą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98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Funkcja rozpoznania średnicy narzędzia celem dostosowania przepływu medium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99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Funkcja ostrzegania przed kończeniem się medium płuczącego celem wymiany zbiornika podającego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Funkcja ostrzegania przed nadmiernym ciśnieniem oraz perforacją – alarm wizualny i akustyczny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101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Kompatybilność z systemem pomiaru zużytego medium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102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Klasa bezpieczeństwa: BF, IP41, IP21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D37E48" w:rsidRPr="00D37E48" w:rsidRDefault="00D37E48" w:rsidP="00D37E48">
            <w:pPr>
              <w:pStyle w:val="Standard"/>
              <w:snapToGrid w:val="0"/>
              <w:ind w:left="360" w:hanging="360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cs="MicrosoftSansSerif"/>
                <w:b/>
                <w:szCs w:val="20"/>
              </w:rPr>
              <w:t>Z</w:t>
            </w:r>
            <w:r w:rsidRPr="00D37E48">
              <w:rPr>
                <w:rFonts w:asciiTheme="minorHAnsi" w:hAnsiTheme="minorHAnsi" w:cs="MicrosoftSansSerif"/>
                <w:b/>
                <w:szCs w:val="20"/>
              </w:rPr>
              <w:t xml:space="preserve">estaw do resekcji śródoperacyjnej bipolarnej </w:t>
            </w:r>
            <w:r w:rsidRPr="00D37E48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 xml:space="preserve">– 1 </w:t>
            </w:r>
            <w:proofErr w:type="spellStart"/>
            <w:r w:rsidRPr="00D37E48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>kpl</w:t>
            </w:r>
            <w:proofErr w:type="spellEnd"/>
            <w:r w:rsidRPr="00D37E48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>.</w:t>
            </w: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103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A1BE6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D37E48" w:rsidRPr="00D37E48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104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D37E48" w:rsidRPr="00D37E48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105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Generator wyposażony w panel dotykowy LCD, zapewniające dostęp do menu urządzenia oraz ustawienie parametrów pracy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lastRenderedPageBreak/>
              <w:t>106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Możliwość zapisu parametrów pracy dla różnych użytkowników i procedur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107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Graficzne i dźwiękowe komunikaty ostrzegające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Odrębna regulacja nastawień koagulacji mono/bipolarnej i cięcia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monopolarnego</w:t>
            </w:r>
            <w:proofErr w:type="spellEnd"/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109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Moc cięcia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monopolarnego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 xml:space="preserve"> 300 W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 xml:space="preserve">Moc koagulacji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monopolarnej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 xml:space="preserve"> 200 W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Moc koagulacji bipolarnej 120W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Koagulacja typu spray 120W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110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Możliwość resekcji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monopolarnej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 xml:space="preserve"> w środowisku wodnym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Dedykowany program do resekcji bipolarnej w roztworze soli fizjologicznej z funkcją rozpoznawania roztworu 0,9% NaCl: Koagulacja 200W, Cięcie 320W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111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Stan pracy generatora sygnalizowany akustycznie z możliwością płynnej regulacji natężenia dźwięku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112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Gniazdo z funkcją rozpoznawania narzędzia, zapewniające przy każdym podłączeniu przewodu przywołanie optymalnych parametrów pracy programu resekcji bipolarnej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113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Włącznik nożny aktywujący pracę generatora elektrochirurgicznego oraz funkcję oddymiania pola operacyjnego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114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Gniazdo do podłączenia jednorazowych płytek pacjenta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System monitorowania poprawnego przylegania dwudzielnej płytki pacjenta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115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Możliwość: aktualizacji oprogramowania w urządzeniu, ustawienia parametrów pracy dla 30 użytkowników, podłączenia 2 instrumentów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monopolarnych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>, 1 instrumentu bipolarnego oraz gniazdo z funkcją rozpoznawania narzędzia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116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Generator wyposażony w moduł komunikacyjny umożliwiający komunikację urządzenia z centralnym systemem/siecią urządzeń endoskopowych bloku operacyjnego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117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Kompatybilny z systemem automatycznego oddymiania pola operacyjnego w laparoskopii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Możliwość podłączenia zaawansowanych narzędzi bipolarnych w funkcją zamykania naczyń krwionośnych i przecinania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7A1BE6">
              <w:rPr>
                <w:rFonts w:asciiTheme="minorHAnsi" w:hAnsiTheme="minorHAnsi" w:cs="Calibri"/>
                <w:bCs/>
                <w:color w:val="000000"/>
              </w:rPr>
              <w:t>Kabel do jednorazowej elektrody neutralnej</w:t>
            </w:r>
            <w:r w:rsidR="00332B96" w:rsidRPr="007A1BE6">
              <w:rPr>
                <w:rFonts w:asciiTheme="minorHAnsi" w:hAnsiTheme="minorHAnsi" w:cs="Calibri"/>
                <w:bCs/>
                <w:color w:val="000000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119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332B9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 xml:space="preserve">Optyka 4 mm, kąt patrzenia 30 stopni, długość robocza </w:t>
            </w:r>
            <w:r w:rsidR="00332B96" w:rsidRPr="007A1BE6">
              <w:rPr>
                <w:rFonts w:asciiTheme="minorHAnsi" w:hAnsiTheme="minorHAnsi" w:cs="Arial"/>
              </w:rPr>
              <w:t>min. 282</w:t>
            </w:r>
            <w:r w:rsidRPr="007A1BE6">
              <w:rPr>
                <w:rFonts w:asciiTheme="minorHAnsi" w:hAnsiTheme="minorHAnsi" w:cs="Arial"/>
              </w:rPr>
              <w:t xml:space="preserve"> mm, pin zatrzaskowy. W zestawie tuba ochronna o długości</w:t>
            </w:r>
            <w:r w:rsidR="00332B96" w:rsidRPr="007A1BE6">
              <w:rPr>
                <w:rFonts w:asciiTheme="minorHAnsi" w:hAnsiTheme="minorHAnsi" w:cs="Arial"/>
              </w:rPr>
              <w:t xml:space="preserve"> min. 300</w:t>
            </w:r>
            <w:r w:rsidRPr="007A1BE6">
              <w:rPr>
                <w:rFonts w:asciiTheme="minorHAnsi" w:hAnsiTheme="minorHAnsi" w:cs="Arial"/>
              </w:rPr>
              <w:t xml:space="preserve"> mm.</w:t>
            </w:r>
            <w:r w:rsidR="00332B96" w:rsidRPr="007A1BE6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332B9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Kontener do sterylizacj</w:t>
            </w:r>
            <w:r w:rsidR="00332B96" w:rsidRPr="007A1BE6">
              <w:rPr>
                <w:rFonts w:asciiTheme="minorHAnsi" w:hAnsiTheme="minorHAnsi" w:cs="Arial"/>
              </w:rPr>
              <w:t>i maks. 2 optyk, o wymiarach 450x50x90</w:t>
            </w:r>
            <w:r w:rsidRPr="007A1BE6">
              <w:rPr>
                <w:rFonts w:asciiTheme="minorHAnsi" w:hAnsiTheme="minorHAnsi" w:cs="Arial"/>
              </w:rPr>
              <w:t xml:space="preserve"> mm</w:t>
            </w:r>
            <w:r w:rsidR="00332B96" w:rsidRPr="007A1BE6">
              <w:rPr>
                <w:rFonts w:asciiTheme="minorHAnsi" w:hAnsiTheme="minorHAnsi" w:cs="Arial"/>
              </w:rPr>
              <w:t xml:space="preserve"> (+/-10mm)</w:t>
            </w:r>
            <w:r w:rsidRPr="007A1BE6">
              <w:rPr>
                <w:rFonts w:asciiTheme="minorHAnsi" w:hAnsiTheme="minorHAnsi" w:cs="Arial"/>
              </w:rPr>
              <w:t>, uchwyty silikonowe podtrzymujące optykę,</w:t>
            </w:r>
            <w:r w:rsidR="00332B9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przeźroczysta pokrywa</w:t>
            </w:r>
            <w:r w:rsidR="00332B96" w:rsidRPr="007A1BE6">
              <w:rPr>
                <w:rFonts w:asciiTheme="minorHAnsi" w:hAnsiTheme="minorHAnsi" w:cs="Arial"/>
              </w:rPr>
              <w:t xml:space="preserve"> 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121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7A1BE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Światłowód dla endoskopów/optyk o średnicy mniejszej lub równej 4,1 mm, średnica wiązki 2,8 mm, średnica zewnętrzna</w:t>
            </w:r>
            <w:r w:rsidR="00332B96" w:rsidRPr="007A1BE6">
              <w:rPr>
                <w:rFonts w:asciiTheme="minorHAnsi" w:hAnsiTheme="minorHAnsi" w:cs="Arial"/>
              </w:rPr>
              <w:t xml:space="preserve"> max 7</w:t>
            </w:r>
            <w:r w:rsidRPr="007A1BE6">
              <w:rPr>
                <w:rFonts w:asciiTheme="minorHAnsi" w:hAnsiTheme="minorHAnsi" w:cs="Arial"/>
              </w:rPr>
              <w:t xml:space="preserve"> mm, długość 3 m, waga </w:t>
            </w:r>
            <w:r w:rsidR="00332B96" w:rsidRPr="007A1BE6">
              <w:rPr>
                <w:rFonts w:asciiTheme="minorHAnsi" w:hAnsiTheme="minorHAnsi" w:cs="Arial"/>
              </w:rPr>
              <w:t xml:space="preserve">max. </w:t>
            </w:r>
            <w:r w:rsidRPr="007A1BE6">
              <w:rPr>
                <w:rFonts w:asciiTheme="minorHAnsi" w:hAnsiTheme="minorHAnsi" w:cs="Arial"/>
              </w:rPr>
              <w:t>2</w:t>
            </w:r>
            <w:r w:rsidR="00332B96" w:rsidRPr="007A1BE6">
              <w:rPr>
                <w:rFonts w:asciiTheme="minorHAnsi" w:hAnsiTheme="minorHAnsi" w:cs="Arial"/>
              </w:rPr>
              <w:t>40</w:t>
            </w:r>
            <w:r w:rsidRPr="007A1BE6">
              <w:rPr>
                <w:rFonts w:asciiTheme="minorHAnsi" w:hAnsiTheme="minorHAnsi" w:cs="Arial"/>
              </w:rPr>
              <w:t xml:space="preserve"> g;</w:t>
            </w:r>
            <w:r w:rsidR="00332B9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obrotowe przyłącze od strony optyki zapobiegające niepożądanemu odłączeniu podczas manewrowania; konstrukcja</w:t>
            </w:r>
            <w:r w:rsidR="00332B9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 xml:space="preserve">bezpośrednio zgodna z trybem </w:t>
            </w:r>
            <w:r w:rsidR="00332B96" w:rsidRPr="007A1BE6">
              <w:rPr>
                <w:rFonts w:asciiTheme="minorHAnsi" w:hAnsiTheme="minorHAnsi" w:cs="Arial"/>
              </w:rPr>
              <w:t>w dedykowanych źródłach światła – 1szt.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122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7A1BE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Element pracujący aktywny do resektoskopu bipolarnego , uchwyt dla palców prowadzących otwarty,</w:t>
            </w:r>
            <w:r w:rsidR="007A1BE6">
              <w:rPr>
                <w:rFonts w:asciiTheme="minorHAnsi" w:hAnsiTheme="minorHAnsi" w:cs="Arial"/>
              </w:rPr>
              <w:t xml:space="preserve"> z</w:t>
            </w:r>
            <w:r w:rsidRPr="007A1BE6">
              <w:rPr>
                <w:rFonts w:asciiTheme="minorHAnsi" w:hAnsiTheme="minorHAnsi" w:cs="Arial"/>
              </w:rPr>
              <w:t>amknięty</w:t>
            </w:r>
            <w:r w:rsidR="007A1BE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(obrotowy) dla kciuka, przyłącze kabla od dołu i od góry</w:t>
            </w:r>
            <w:r w:rsidR="007A1BE6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123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Kabel HF, bipolarny do zaoferowanego generatora , długość 4 m,</w:t>
            </w:r>
            <w:r w:rsidR="007A1BE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1BE6">
              <w:rPr>
                <w:rFonts w:asciiTheme="minorHAnsi" w:hAnsiTheme="minorHAnsi" w:cs="Arial"/>
              </w:rPr>
              <w:t>autoklawowalny</w:t>
            </w:r>
            <w:proofErr w:type="spellEnd"/>
            <w:r w:rsidR="007A1BE6">
              <w:rPr>
                <w:rFonts w:asciiTheme="minorHAnsi" w:hAnsiTheme="minorHAnsi" w:cs="Arial"/>
              </w:rPr>
              <w:t xml:space="preserve"> - 4 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124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Płaszcz zewnętrzny resektoskopu 27 Fr., 2 nierozbieralne zawory, obrotowy</w:t>
            </w:r>
            <w:r w:rsidR="002554F9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125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Płaszcz wewnętrzny 24 Fr do płaszcza zewnętrznego 27 Fr lub do resektoskopu 24 Fr, z obturatore</w:t>
            </w:r>
            <w:r w:rsidR="002554F9">
              <w:rPr>
                <w:rFonts w:asciiTheme="minorHAnsi" w:hAnsiTheme="minorHAnsi" w:cs="Arial"/>
              </w:rPr>
              <w:t>m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126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Port irygacyjny, 2 nierozbieralne zawory, obrotowy</w:t>
            </w:r>
            <w:r w:rsidR="00AE69EF">
              <w:rPr>
                <w:rFonts w:asciiTheme="minorHAnsi" w:hAnsiTheme="minorHAnsi" w:cs="Arial"/>
              </w:rPr>
              <w:t xml:space="preserve"> – 1szt.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127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Strzykawka, 150 ml, z końcówką zatrzaskową</w:t>
            </w:r>
            <w:r w:rsidR="00AE69EF">
              <w:rPr>
                <w:rFonts w:asciiTheme="minorHAnsi" w:hAnsiTheme="minorHAnsi" w:cs="Arial"/>
              </w:rPr>
              <w:t xml:space="preserve"> – 2szt. 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lastRenderedPageBreak/>
              <w:t>128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Łącznik elastyczny z końcówką zatrzaskową pasującą do oferowanego resektoskopu, umożliwiający wykorzystanie do płukania pę</w:t>
            </w:r>
            <w:r w:rsidR="00AE69EF">
              <w:rPr>
                <w:rFonts w:asciiTheme="minorHAnsi" w:hAnsiTheme="minorHAnsi" w:cs="Arial"/>
              </w:rPr>
              <w:t xml:space="preserve">cherza strzykawek jednorazowych – 2szt. 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129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AE69EF">
            <w:pPr>
              <w:widowControl/>
              <w:suppressAutoHyphens w:val="0"/>
              <w:textAlignment w:val="auto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  <w:color w:val="000000"/>
              </w:rPr>
              <w:t xml:space="preserve">Pojemnik do sterylizacji, do urologii (resektoskop, cystoskop, uretrotom) o wymiarach </w:t>
            </w:r>
            <w:r w:rsidR="00AE69EF">
              <w:rPr>
                <w:rFonts w:asciiTheme="minorHAnsi" w:hAnsiTheme="minorHAnsi" w:cs="Arial"/>
                <w:color w:val="00201F"/>
              </w:rPr>
              <w:t>480 x 70 x 230</w:t>
            </w:r>
            <w:r w:rsidRPr="007A1BE6">
              <w:rPr>
                <w:rFonts w:asciiTheme="minorHAnsi" w:hAnsiTheme="minorHAnsi" w:cs="Arial"/>
                <w:color w:val="00201F"/>
              </w:rPr>
              <w:t xml:space="preserve"> mm</w:t>
            </w:r>
            <w:r w:rsidR="00AE69EF">
              <w:rPr>
                <w:rFonts w:asciiTheme="minorHAnsi" w:hAnsiTheme="minorHAnsi" w:cs="Arial"/>
                <w:color w:val="00201F"/>
              </w:rPr>
              <w:t xml:space="preserve"> (+/-5mm)</w:t>
            </w:r>
            <w:r w:rsidRPr="007A1BE6">
              <w:rPr>
                <w:rFonts w:asciiTheme="minorHAnsi" w:hAnsiTheme="minorHAnsi" w:cs="Arial"/>
                <w:color w:val="000000"/>
              </w:rPr>
              <w:t>. Pojemnik może</w:t>
            </w:r>
            <w:r w:rsidR="00AE69EF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A1BE6">
              <w:rPr>
                <w:rFonts w:asciiTheme="minorHAnsi" w:hAnsiTheme="minorHAnsi" w:cs="Arial"/>
                <w:color w:val="000000"/>
              </w:rPr>
              <w:t>być jednocześnie wkładem do kontenera</w:t>
            </w:r>
            <w:r w:rsidR="00AE69EF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Pokrywa do samodzielnych wkładów kontenera</w:t>
            </w:r>
            <w:r w:rsidR="00AE69EF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130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Elektroda kulkowa kompatybilna z oferowanym zestawem resektoskopów bipolarnych, do optyk 12° i 30°, wielorazowego użytku.</w:t>
            </w:r>
            <w:r w:rsid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Posiadająca trwałe oznaczenia z informacją o środowisku pracy</w:t>
            </w:r>
            <w:r w:rsidR="00AE69EF">
              <w:rPr>
                <w:rFonts w:asciiTheme="minorHAnsi" w:hAnsiTheme="minorHAnsi" w:cs="Arial"/>
              </w:rPr>
              <w:t xml:space="preserve"> i kącie kompatybilnej optyki – 5szt.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131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7A1BE6">
            <w:pPr>
              <w:widowControl/>
              <w:suppressAutoHyphens w:val="0"/>
              <w:textAlignment w:val="auto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 xml:space="preserve">Elektroda </w:t>
            </w:r>
            <w:proofErr w:type="spellStart"/>
            <w:r w:rsidRPr="007A1BE6">
              <w:rPr>
                <w:rFonts w:asciiTheme="minorHAnsi" w:hAnsiTheme="minorHAnsi" w:cs="Arial"/>
              </w:rPr>
              <w:t>resekcyjna</w:t>
            </w:r>
            <w:proofErr w:type="spellEnd"/>
            <w:r w:rsidRPr="007A1BE6">
              <w:rPr>
                <w:rFonts w:asciiTheme="minorHAnsi" w:hAnsiTheme="minorHAnsi" w:cs="Arial"/>
              </w:rPr>
              <w:t xml:space="preserve"> bipolarna, średnia pętla 0,2 mm, </w:t>
            </w:r>
            <w:proofErr w:type="spellStart"/>
            <w:r w:rsidRPr="007A1BE6">
              <w:rPr>
                <w:rFonts w:asciiTheme="minorHAnsi" w:hAnsiTheme="minorHAnsi" w:cs="Arial"/>
              </w:rPr>
              <w:t>TURis</w:t>
            </w:r>
            <w:proofErr w:type="spellEnd"/>
            <w:r w:rsidRPr="007A1BE6">
              <w:rPr>
                <w:rFonts w:asciiTheme="minorHAnsi" w:hAnsiTheme="minorHAnsi" w:cs="Arial"/>
              </w:rPr>
              <w:t>/</w:t>
            </w:r>
            <w:proofErr w:type="spellStart"/>
            <w:r w:rsidRPr="007A1BE6">
              <w:rPr>
                <w:rFonts w:asciiTheme="minorHAnsi" w:hAnsiTheme="minorHAnsi" w:cs="Arial"/>
              </w:rPr>
              <w:t>TCRis</w:t>
            </w:r>
            <w:proofErr w:type="spellEnd"/>
            <w:r w:rsidRPr="007A1BE6">
              <w:rPr>
                <w:rFonts w:asciiTheme="minorHAnsi" w:hAnsiTheme="minorHAnsi" w:cs="Arial"/>
              </w:rPr>
              <w:t>, do optyki 30°, sterylna, jednorazowego użytku, 12szt opakowanie,</w:t>
            </w:r>
            <w:r w:rsid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 xml:space="preserve"> Posiadająca trwałe oznaczenia z informacją o środowisku pracy i kącie kompatybilnej o</w:t>
            </w:r>
            <w:r w:rsidR="007A1BE6">
              <w:rPr>
                <w:rFonts w:asciiTheme="minorHAnsi" w:hAnsiTheme="minorHAnsi" w:cs="Arial"/>
              </w:rPr>
              <w:t xml:space="preserve">ptyki </w:t>
            </w:r>
            <w:r w:rsidR="00AE69EF">
              <w:rPr>
                <w:rFonts w:asciiTheme="minorHAnsi" w:hAnsiTheme="minorHAnsi" w:cs="Arial"/>
              </w:rPr>
              <w:t>– 1op.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132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Adapter światłowodu do światłowodów innych producentów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2554F9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2554F9" w:rsidRPr="002554F9" w:rsidRDefault="002554F9" w:rsidP="002554F9">
            <w:pPr>
              <w:jc w:val="center"/>
              <w:rPr>
                <w:rFonts w:asciiTheme="minorHAnsi" w:hAnsiTheme="minorHAnsi" w:cs="Arial"/>
                <w:b/>
              </w:rPr>
            </w:pPr>
            <w:r w:rsidRPr="002554F9">
              <w:rPr>
                <w:rFonts w:asciiTheme="minorHAnsi" w:hAnsiTheme="minorHAnsi" w:cs="Arial"/>
                <w:b/>
              </w:rPr>
              <w:t>Wyposażenie dodatkowe</w:t>
            </w:r>
          </w:p>
        </w:tc>
      </w:tr>
      <w:tr w:rsidR="002554F9" w:rsidRPr="00127AA7" w:rsidTr="00B316F0">
        <w:trPr>
          <w:cantSplit/>
          <w:trHeight w:val="229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133</w:t>
            </w:r>
          </w:p>
        </w:tc>
        <w:tc>
          <w:tcPr>
            <w:tcW w:w="5434" w:type="dxa"/>
            <w:vAlign w:val="center"/>
          </w:tcPr>
          <w:p w:rsidR="002554F9" w:rsidRPr="00B316F0" w:rsidRDefault="002554F9" w:rsidP="002554F9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B316F0">
              <w:rPr>
                <w:rFonts w:asciiTheme="minorHAnsi" w:hAnsiTheme="minorHAnsi" w:cs="Calibri"/>
                <w:bCs/>
                <w:color w:val="000000"/>
              </w:rPr>
              <w:t>Dreny wielorazowe do pompy histeroskopowej (</w:t>
            </w:r>
            <w:proofErr w:type="spellStart"/>
            <w:r w:rsidRPr="00B316F0">
              <w:rPr>
                <w:rFonts w:asciiTheme="minorHAnsi" w:hAnsiTheme="minorHAnsi" w:cs="Calibri"/>
                <w:bCs/>
                <w:color w:val="000000"/>
              </w:rPr>
              <w:t>autoklawowalne</w:t>
            </w:r>
            <w:proofErr w:type="spellEnd"/>
            <w:r w:rsidRPr="00B316F0">
              <w:rPr>
                <w:rFonts w:asciiTheme="minorHAnsi" w:hAnsiTheme="minorHAnsi" w:cs="Calibri"/>
                <w:bCs/>
                <w:color w:val="000000"/>
              </w:rPr>
              <w:t>)</w:t>
            </w:r>
            <w:r w:rsidR="00B316F0">
              <w:rPr>
                <w:rFonts w:asciiTheme="minorHAnsi" w:hAnsiTheme="minorHAnsi" w:cs="Calibri"/>
                <w:bCs/>
                <w:color w:val="000000"/>
              </w:rPr>
              <w:t xml:space="preserve"> – 5kpl.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4726DC">
        <w:trPr>
          <w:cantSplit/>
          <w:trHeight w:val="321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134</w:t>
            </w:r>
          </w:p>
        </w:tc>
        <w:tc>
          <w:tcPr>
            <w:tcW w:w="5434" w:type="dxa"/>
            <w:vAlign w:val="center"/>
          </w:tcPr>
          <w:p w:rsidR="002554F9" w:rsidRPr="002554F9" w:rsidRDefault="002554F9" w:rsidP="002554F9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2554F9">
              <w:rPr>
                <w:rFonts w:asciiTheme="minorHAnsi" w:hAnsiTheme="minorHAnsi" w:cs="Arial"/>
              </w:rPr>
              <w:t xml:space="preserve">Optyka, średnica 10 mm, kąt patrzenia 0° LUB 30°, HD, dł. rob. Min 308mm; </w:t>
            </w:r>
            <w:proofErr w:type="spellStart"/>
            <w:r w:rsidRPr="002554F9">
              <w:rPr>
                <w:rFonts w:asciiTheme="minorHAnsi" w:hAnsiTheme="minorHAnsi" w:cs="Arial"/>
              </w:rPr>
              <w:t>autoklawowalna</w:t>
            </w:r>
            <w:proofErr w:type="spellEnd"/>
            <w:r w:rsidRPr="002554F9">
              <w:rPr>
                <w:rFonts w:asciiTheme="minorHAnsi" w:hAnsiTheme="minorHAnsi" w:cs="Arial"/>
              </w:rPr>
              <w:t>; odkręcany adapter okularowy do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przyłącza głowicy kamery;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W zestawie kontener do sterylizacji.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Kąt patrzenia</w:t>
            </w:r>
            <w:r w:rsidR="00B316F0">
              <w:rPr>
                <w:rFonts w:asciiTheme="minorHAnsi" w:hAnsiTheme="minorHAnsi" w:cs="Arial"/>
              </w:rPr>
              <w:t xml:space="preserve"> optyki do wyboru Zamawiającego – 2 szt.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4726DC">
        <w:trPr>
          <w:cantSplit/>
          <w:trHeight w:val="321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135</w:t>
            </w:r>
          </w:p>
        </w:tc>
        <w:tc>
          <w:tcPr>
            <w:tcW w:w="5434" w:type="dxa"/>
            <w:vAlign w:val="center"/>
          </w:tcPr>
          <w:p w:rsidR="002554F9" w:rsidRPr="002554F9" w:rsidRDefault="002554F9" w:rsidP="002554F9">
            <w:pPr>
              <w:rPr>
                <w:rFonts w:asciiTheme="minorHAnsi" w:hAnsiTheme="minorHAnsi" w:cs="Arial"/>
              </w:rPr>
            </w:pPr>
            <w:r w:rsidRPr="002554F9">
              <w:rPr>
                <w:rFonts w:asciiTheme="minorHAnsi" w:hAnsiTheme="minorHAnsi" w:cs="Arial"/>
              </w:rPr>
              <w:t>Wózek endoskopowy:</w:t>
            </w:r>
          </w:p>
          <w:p w:rsidR="002554F9" w:rsidRPr="002554F9" w:rsidRDefault="002554F9" w:rsidP="002554F9">
            <w:pPr>
              <w:widowControl/>
              <w:suppressAutoHyphens w:val="0"/>
              <w:textAlignment w:val="auto"/>
              <w:rPr>
                <w:rFonts w:asciiTheme="minorHAnsi" w:hAnsiTheme="minorHAnsi" w:cs="Arial"/>
              </w:rPr>
            </w:pPr>
            <w:r w:rsidRPr="002554F9">
              <w:rPr>
                <w:rFonts w:asciiTheme="minorHAnsi" w:hAnsiTheme="minorHAnsi" w:cs="Arial"/>
              </w:rPr>
              <w:t>Ramię przegubowe na monitor LCD 26" do wózka. Maksymalne obciążenie 14 kg. Mocowanie VESA 75/100.</w:t>
            </w:r>
          </w:p>
          <w:p w:rsidR="002554F9" w:rsidRPr="002554F9" w:rsidRDefault="002554F9" w:rsidP="002554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Wieszak 4-miejscowy na płyny</w:t>
            </w:r>
            <w:r w:rsidRPr="002554F9">
              <w:rPr>
                <w:rFonts w:asciiTheme="minorHAnsi" w:hAnsiTheme="minorHAnsi" w:cs="Arial"/>
              </w:rPr>
              <w:t>. Maksymalne obciążenie 4x 2 Kg</w:t>
            </w:r>
          </w:p>
          <w:p w:rsidR="002554F9" w:rsidRPr="002554F9" w:rsidRDefault="002554F9" w:rsidP="002554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Uchwyt na butlę CO2</w:t>
            </w:r>
            <w:r w:rsidRPr="002554F9">
              <w:rPr>
                <w:rFonts w:asciiTheme="minorHAnsi" w:hAnsiTheme="minorHAnsi" w:cs="Arial"/>
              </w:rPr>
              <w:t>, o średnicy maks. 205 mm.</w:t>
            </w:r>
            <w:r>
              <w:rPr>
                <w:rFonts w:asciiTheme="minorHAnsi" w:hAnsiTheme="minorHAnsi" w:cs="Arial"/>
              </w:rPr>
              <w:t xml:space="preserve"> – 1kpl. 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4726DC">
        <w:trPr>
          <w:cantSplit/>
          <w:trHeight w:val="321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136</w:t>
            </w:r>
          </w:p>
        </w:tc>
        <w:tc>
          <w:tcPr>
            <w:tcW w:w="5434" w:type="dxa"/>
            <w:vAlign w:val="center"/>
          </w:tcPr>
          <w:p w:rsidR="002554F9" w:rsidRPr="002554F9" w:rsidRDefault="002554F9" w:rsidP="002554F9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proofErr w:type="spellStart"/>
            <w:r w:rsidRPr="002554F9">
              <w:rPr>
                <w:rFonts w:asciiTheme="minorHAnsi" w:hAnsiTheme="minorHAnsi" w:cs="Arial"/>
              </w:rPr>
              <w:t>Nagrywarka.Urządzenie</w:t>
            </w:r>
            <w:proofErr w:type="spellEnd"/>
            <w:r w:rsidRPr="002554F9">
              <w:rPr>
                <w:rFonts w:asciiTheme="minorHAnsi" w:hAnsiTheme="minorHAnsi" w:cs="Arial"/>
              </w:rPr>
              <w:t xml:space="preserve"> przechwytujące audio/wideo(niemedyczne). Wejście: HDMI, Component (</w:t>
            </w:r>
            <w:proofErr w:type="spellStart"/>
            <w:r w:rsidRPr="002554F9">
              <w:rPr>
                <w:rFonts w:asciiTheme="minorHAnsi" w:hAnsiTheme="minorHAnsi" w:cs="Arial"/>
              </w:rPr>
              <w:t>YPbPr</w:t>
            </w:r>
            <w:proofErr w:type="spellEnd"/>
            <w:r w:rsidRPr="002554F9">
              <w:rPr>
                <w:rFonts w:asciiTheme="minorHAnsi" w:hAnsiTheme="minorHAnsi" w:cs="Arial"/>
              </w:rPr>
              <w:t>), audio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(2ch), mikrofon 3,5 mm. Wyjście: HDMI (Pass-</w:t>
            </w:r>
            <w:proofErr w:type="spellStart"/>
            <w:r w:rsidRPr="002554F9">
              <w:rPr>
                <w:rFonts w:asciiTheme="minorHAnsi" w:hAnsiTheme="minorHAnsi" w:cs="Arial"/>
              </w:rPr>
              <w:t>thru</w:t>
            </w:r>
            <w:proofErr w:type="spellEnd"/>
            <w:r w:rsidRPr="002554F9">
              <w:rPr>
                <w:rFonts w:asciiTheme="minorHAnsi" w:hAnsiTheme="minorHAnsi" w:cs="Arial"/>
              </w:rPr>
              <w:t>), słuchawkowe. Port LAN. Możliwość podłączenia dysku 2,5'' SATA</w:t>
            </w:r>
          </w:p>
          <w:p w:rsidR="002554F9" w:rsidRPr="002554F9" w:rsidRDefault="002554F9" w:rsidP="002554F9">
            <w:pPr>
              <w:rPr>
                <w:rFonts w:asciiTheme="minorHAnsi" w:hAnsiTheme="minorHAnsi"/>
              </w:rPr>
            </w:pPr>
            <w:r w:rsidRPr="002554F9">
              <w:rPr>
                <w:rFonts w:asciiTheme="minorHAnsi" w:hAnsiTheme="minorHAnsi" w:cs="Arial"/>
              </w:rPr>
              <w:t>lub zewnętrznego dysku USB (2.0/3.0). Format nagrywania MP4 (H.264, AAC). Pilot w zestawie.</w:t>
            </w:r>
            <w:r>
              <w:rPr>
                <w:rFonts w:asciiTheme="minorHAnsi" w:hAnsiTheme="minorHAnsi" w:cs="Arial"/>
              </w:rPr>
              <w:t xml:space="preserve"> – 1szt.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</w:tbl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rPr>
          <w:b/>
        </w:rPr>
      </w:pPr>
    </w:p>
    <w:p w:rsidR="00460319" w:rsidRPr="00127AA7" w:rsidRDefault="00460319" w:rsidP="00460319">
      <w:pPr>
        <w:rPr>
          <w:b/>
        </w:rPr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460319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F482B" w:rsidRDefault="00FF482B" w:rsidP="00FF482B"/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FF482B" w:rsidRPr="00B316F0" w:rsidTr="00375DC8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FF482B" w:rsidRPr="00B316F0" w:rsidTr="005F3852">
        <w:trPr>
          <w:cantSplit/>
          <w:trHeight w:val="484"/>
        </w:trPr>
        <w:tc>
          <w:tcPr>
            <w:tcW w:w="812" w:type="dxa"/>
            <w:vAlign w:val="center"/>
          </w:tcPr>
          <w:p w:rsidR="00FF482B" w:rsidRPr="00B316F0" w:rsidRDefault="00FF482B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7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FF482B" w:rsidRPr="00B316F0" w:rsidTr="005F3852">
        <w:trPr>
          <w:cantSplit/>
          <w:trHeight w:val="344"/>
        </w:trPr>
        <w:tc>
          <w:tcPr>
            <w:tcW w:w="812" w:type="dxa"/>
            <w:vAlign w:val="center"/>
          </w:tcPr>
          <w:p w:rsidR="00FF482B" w:rsidRPr="00B316F0" w:rsidRDefault="00FF482B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7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B316F0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Obrazowanie w wąskim paśmie światła. Skuteczność potwierdzona badaniami klinicznymi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5F3852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 w:rsidR="00B316F0"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użycia płaszcza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wew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24fr resektoskopu bipolarnego jako resektoskopu 24fr po połączeniu z portem irygacyjnym z dwoma nierozbieralnymi zaworami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432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Jednoczasowe automatyczne oddymianie (komunikacja diatermii z oferowanym </w:t>
            </w:r>
            <w:proofErr w:type="spellStart"/>
            <w:r w:rsidRPr="00B316F0">
              <w:rPr>
                <w:rFonts w:asciiTheme="minorHAnsi" w:hAnsiTheme="minorHAnsi" w:cs="Arial"/>
              </w:rPr>
              <w:t>insuflatorem</w:t>
            </w:r>
            <w:proofErr w:type="spellEnd"/>
            <w:r w:rsidRPr="00B316F0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Możliwość podłączenia przycisku nożnego (nie wymagany SIWZ) do oddymiania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Zintegrowany procesor obrazu ze </w:t>
            </w:r>
            <w:proofErr w:type="spellStart"/>
            <w:r w:rsidRPr="00B316F0">
              <w:rPr>
                <w:rFonts w:asciiTheme="minorHAnsi" w:hAnsiTheme="minorHAnsi" w:cs="Arial"/>
              </w:rPr>
              <w:t>żródłem</w:t>
            </w:r>
            <w:proofErr w:type="spellEnd"/>
            <w:r w:rsidRPr="00B316F0">
              <w:rPr>
                <w:rFonts w:asciiTheme="minorHAnsi" w:hAnsiTheme="minorHAnsi" w:cs="Arial"/>
              </w:rPr>
              <w:t xml:space="preserve"> światła LED (jeden segment)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  <w:r w:rsidR="005F3852" w:rsidRPr="00B316F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Dostępność drenów wielorazowych do pompy płuczącej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Trwałe oznaczenie elektrody - na tulejce stabilizującej informacjami pozwalającymi na szybką identyfikację elektrody, tj. informacją o kompatybilnej optyce i płaszczu wewnętrznym (24 lub 26 Fr), numerem katalogowym, informacją o środowisku pracy tj. 0,9%NaCl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Calibri"/>
                <w:color w:val="000000"/>
                <w:lang w:eastAsia="en-US"/>
              </w:rPr>
              <w:t>Włącznik/wyłącznik  ze wskaźnikiem stanu lampy na panelu dotykowym urządzenia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Minimum 3 dowolnie programowalne przyciski zlokalizowane na głowicy kamery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podłączenia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videocystoskopu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i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viodeouroteroskopu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giętkiego</w:t>
            </w:r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do wyspecyfikowanego sprzętu bez konieczności dodatkowego </w:t>
            </w:r>
            <w:proofErr w:type="spellStart"/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>dosprzętowienia</w:t>
            </w:r>
            <w:proofErr w:type="spellEnd"/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</w:tbl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Pr="00EF0C34" w:rsidRDefault="00FF482B" w:rsidP="00FF482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FF482B" w:rsidRPr="00EF0C34" w:rsidRDefault="00FF482B" w:rsidP="00FF482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FF482B" w:rsidRDefault="00FF482B" w:rsidP="00FF482B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B17277" w:rsidRDefault="00B17277" w:rsidP="00E45C19">
      <w:pPr>
        <w:sectPr w:rsidR="00B17277" w:rsidSect="004726DC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7277" w:rsidRPr="00B17277" w:rsidRDefault="004726DC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7277" w:rsidRPr="00B17277">
        <w:rPr>
          <w:rFonts w:asciiTheme="minorHAnsi" w:hAnsiTheme="minorHAnsi"/>
          <w:szCs w:val="24"/>
        </w:rPr>
        <w:t>/2017</w:t>
      </w:r>
      <w:r w:rsidR="00B17277" w:rsidRPr="00B17277">
        <w:rPr>
          <w:rFonts w:asciiTheme="minorHAnsi" w:hAnsiTheme="minorHAnsi"/>
          <w:szCs w:val="24"/>
        </w:rPr>
        <w:tab/>
      </w:r>
      <w:r w:rsidR="00B17277" w:rsidRPr="00B17277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B17277"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B17277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375DC8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>NIE DOTYCZY PAKIETU NR 3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4726DC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4726D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7277">
        <w:rPr>
          <w:rFonts w:asciiTheme="minorHAnsi" w:hAnsiTheme="minorHAnsi"/>
          <w:szCs w:val="24"/>
        </w:rPr>
        <w:t>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17277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0BEC" w:rsidRDefault="00B15EEA" w:rsidP="00B15EEA">
      <w:pPr>
        <w:jc w:val="both"/>
        <w:rPr>
          <w:rFonts w:asciiTheme="minorHAnsi" w:hAnsiTheme="minorHAnsi"/>
        </w:rPr>
      </w:pPr>
      <w:r w:rsidRPr="009E0BE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E0BEC">
        <w:rPr>
          <w:rFonts w:asciiTheme="minorHAnsi" w:hAnsiTheme="minorHAnsi"/>
        </w:rPr>
        <w:t>pn</w:t>
      </w:r>
      <w:proofErr w:type="spellEnd"/>
      <w:r w:rsidR="00B06E8C" w:rsidRPr="009E0BEC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9E0BEC">
        <w:rPr>
          <w:rFonts w:asciiTheme="minorHAnsi" w:eastAsia="Calibri" w:hAnsiTheme="minorHAnsi"/>
          <w:b/>
          <w:lang w:eastAsia="pl-PL"/>
        </w:rPr>
        <w:t xml:space="preserve">Zakup i dostawa </w:t>
      </w:r>
      <w:r w:rsidR="00CF3954">
        <w:rPr>
          <w:rFonts w:asciiTheme="minorHAnsi" w:eastAsia="Calibri1" w:hAnsiTheme="minorHAnsi" w:cs="Calibri1"/>
          <w:b/>
          <w:bCs/>
          <w:color w:val="000000"/>
        </w:rPr>
        <w:t>zestawu endoskopowego oraz wieży laparoskopowej</w:t>
      </w:r>
      <w:r w:rsidRPr="009E0BE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4726D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</w:t>
      </w:r>
      <w:r w:rsidR="00CF3954">
        <w:rPr>
          <w:rFonts w:asciiTheme="minorHAnsi" w:hAnsiTheme="minorHAnsi"/>
          <w:szCs w:val="24"/>
        </w:rPr>
        <w:t xml:space="preserve"> 11</w:t>
      </w:r>
      <w:r>
        <w:rPr>
          <w:rFonts w:asciiTheme="minorHAnsi" w:hAnsiTheme="minorHAnsi"/>
          <w:szCs w:val="24"/>
        </w:rPr>
        <w:t>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CF3954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4726DC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CF3954">
        <w:rPr>
          <w:rFonts w:asciiTheme="minorHAnsi" w:hAnsiTheme="minorHAnsi"/>
          <w:szCs w:val="24"/>
        </w:rPr>
        <w:t>11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17277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3F634A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CF3954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CF3954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CF3954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CF3954">
        <w:rPr>
          <w:rFonts w:asciiTheme="minorHAnsi" w:hAnsiTheme="minorHAnsi"/>
          <w:sz w:val="24"/>
          <w:szCs w:val="24"/>
        </w:rPr>
        <w:t xml:space="preserve">na </w:t>
      </w:r>
      <w:r w:rsidRPr="00CF3954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CF3954" w:rsidRPr="00CF3954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 oraz wieży laparoskopowej</w:t>
      </w:r>
      <w:r w:rsidR="00923068">
        <w:rPr>
          <w:rFonts w:asciiTheme="minorHAnsi" w:hAnsiTheme="minorHAnsi"/>
          <w:sz w:val="24"/>
          <w:szCs w:val="24"/>
        </w:rPr>
        <w:t xml:space="preserve"> (11</w:t>
      </w:r>
      <w:r w:rsidRPr="00CF3954">
        <w:rPr>
          <w:rFonts w:asciiTheme="minorHAnsi" w:hAnsiTheme="minorHAnsi"/>
          <w:sz w:val="24"/>
          <w:szCs w:val="24"/>
        </w:rPr>
        <w:t>/201</w:t>
      </w:r>
      <w:r w:rsidR="00B17277" w:rsidRPr="00CF3954">
        <w:rPr>
          <w:rFonts w:asciiTheme="minorHAnsi" w:hAnsiTheme="minorHAnsi"/>
          <w:sz w:val="24"/>
          <w:szCs w:val="24"/>
        </w:rPr>
        <w:t>7</w:t>
      </w:r>
      <w:r w:rsidRPr="00CF3954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CF3954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7C466A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7C466A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B17277" w:rsidRPr="00CF3954" w:rsidRDefault="00CF3954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36F0B">
        <w:rPr>
          <w:sz w:val="22"/>
          <w:szCs w:val="22"/>
        </w:rPr>
        <w:t xml:space="preserve">Wykonawca </w:t>
      </w:r>
      <w:r w:rsidRPr="00CF3954">
        <w:rPr>
          <w:rFonts w:asciiTheme="minorHAnsi" w:hAnsiTheme="minorHAnsi"/>
          <w:sz w:val="22"/>
          <w:szCs w:val="22"/>
        </w:rPr>
        <w:t>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B17277" w:rsidRPr="009E0BEC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F3954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</w:t>
      </w:r>
      <w:r w:rsidRPr="007C466A">
        <w:rPr>
          <w:rFonts w:asciiTheme="minorHAnsi" w:hAnsiTheme="minorHAnsi"/>
          <w:sz w:val="22"/>
          <w:szCs w:val="22"/>
        </w:rPr>
        <w:t xml:space="preserve"> jego użytkowania, wskazanym przez Zamawiającego,</w:t>
      </w:r>
      <w:r w:rsidRPr="009E0BEC">
        <w:rPr>
          <w:rFonts w:asciiTheme="minorHAnsi" w:hAnsiTheme="minorHAnsi"/>
          <w:sz w:val="22"/>
          <w:szCs w:val="22"/>
        </w:rPr>
        <w:t xml:space="preserve">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0BEC">
        <w:rPr>
          <w:rFonts w:asciiTheme="minorHAnsi" w:hAnsiTheme="minorHAnsi"/>
          <w:sz w:val="22"/>
          <w:szCs w:val="22"/>
        </w:rPr>
        <w:t>Wykonawca jest zobowiązany do przeszkolenia, wskazanego przez Zamawiającego personelu w</w:t>
      </w:r>
      <w:r w:rsidRPr="00E3242B">
        <w:rPr>
          <w:rFonts w:asciiTheme="minorHAnsi" w:hAnsiTheme="minorHAnsi"/>
          <w:sz w:val="22"/>
          <w:szCs w:val="22"/>
        </w:rPr>
        <w:t xml:space="preserve">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E3242B">
        <w:rPr>
          <w:rFonts w:asciiTheme="minorHAnsi" w:hAnsiTheme="minorHAnsi"/>
          <w:sz w:val="22"/>
          <w:szCs w:val="22"/>
        </w:rPr>
        <w:t>30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 wszelkie uszkodzenia powstałe podczas dostawy, dostosowania pomieszczeń, montażu i </w:t>
      </w:r>
      <w:r w:rsidRPr="00E3242B">
        <w:rPr>
          <w:rFonts w:asciiTheme="minorHAnsi" w:hAnsiTheme="minorHAnsi"/>
          <w:sz w:val="22"/>
          <w:szCs w:val="22"/>
        </w:rPr>
        <w:lastRenderedPageBreak/>
        <w:t>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 w:rsidR="00CF3954">
        <w:rPr>
          <w:rFonts w:asciiTheme="minorHAnsi" w:hAnsiTheme="minorHAnsi"/>
          <w:sz w:val="22"/>
          <w:szCs w:val="22"/>
        </w:rPr>
        <w:t xml:space="preserve"> (zestaw endoskopowy / wieżą laparoskopową)</w:t>
      </w:r>
      <w:r w:rsidRPr="00E3242B">
        <w:rPr>
          <w:rFonts w:asciiTheme="minorHAnsi" w:hAnsiTheme="minorHAnsi"/>
          <w:sz w:val="22"/>
          <w:szCs w:val="22"/>
        </w:rPr>
        <w:t xml:space="preserve"> 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Odpowiedzialność Wykonawcy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E3242B">
        <w:rPr>
          <w:rFonts w:asciiTheme="minorHAnsi" w:hAnsiTheme="minorHAnsi"/>
          <w:sz w:val="22"/>
          <w:szCs w:val="22"/>
        </w:rPr>
        <w:lastRenderedPageBreak/>
        <w:t>umowy, w przypadku odstąpienia od umowy z przyczyn zależnych od Zamawiającego, z wyjątkiem sytuacji unormowanej w art. 145 ust.1 ustawy z dnia 29 stycznia 2004r Prawo zamówień 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CF3954">
        <w:rPr>
          <w:rFonts w:asciiTheme="minorHAnsi" w:hAnsiTheme="minorHAnsi"/>
          <w:b/>
          <w:sz w:val="22"/>
          <w:szCs w:val="22"/>
        </w:rPr>
        <w:t>11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 w:rsidR="00CF3954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E3242B">
        <w:rPr>
          <w:rFonts w:asciiTheme="minorHAnsi" w:hAnsiTheme="minorHAnsi"/>
          <w:sz w:val="22"/>
          <w:szCs w:val="22"/>
        </w:rPr>
        <w:t>7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Nazwa – SP WZOZ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44307E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 xml:space="preserve">zgłoszonych wad w ciągu 5 dni roboczych od chwili zgłoszenia, </w:t>
      </w:r>
      <w:r w:rsidR="0044307E" w:rsidRPr="0044307E">
        <w:rPr>
          <w:rFonts w:asciiTheme="minorHAnsi" w:hAnsiTheme="minorHAnsi"/>
          <w:sz w:val="22"/>
          <w:szCs w:val="22"/>
        </w:rPr>
        <w:t>a w przypadku dostarczenia urządzenia zastępczego w terminie nie d</w:t>
      </w:r>
      <w:r w:rsidR="00D52E07">
        <w:rPr>
          <w:rFonts w:asciiTheme="minorHAnsi" w:hAnsiTheme="minorHAnsi"/>
          <w:sz w:val="22"/>
          <w:szCs w:val="22"/>
        </w:rPr>
        <w:t>łuższym jak 30</w:t>
      </w:r>
      <w:r w:rsidR="0044307E" w:rsidRPr="0044307E">
        <w:rPr>
          <w:rFonts w:asciiTheme="minorHAnsi" w:hAnsiTheme="minorHAnsi"/>
          <w:sz w:val="22"/>
          <w:szCs w:val="22"/>
        </w:rPr>
        <w:t xml:space="preserve"> dni roboczych od dnia zgłoszenia</w:t>
      </w:r>
      <w:r w:rsidRPr="0044307E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>Wykonania przeglądu 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 w:rsidR="00CF3954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0B67A6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="00B17277"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E3242B">
        <w:rPr>
          <w:rFonts w:asciiTheme="minorHAnsi" w:hAnsiTheme="minorHAnsi"/>
          <w:sz w:val="22"/>
          <w:szCs w:val="22"/>
        </w:rPr>
        <w:t>7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</w:t>
      </w:r>
      <w:r w:rsidR="003F634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CF3954">
        <w:rPr>
          <w:rFonts w:ascii="Arial" w:hAnsi="Arial" w:cs="Arial"/>
          <w:b/>
        </w:rPr>
        <w:t>11</w:t>
      </w:r>
      <w:r w:rsidRPr="00940A09">
        <w:rPr>
          <w:rFonts w:ascii="Arial" w:hAnsi="Arial" w:cs="Arial"/>
          <w:b/>
        </w:rPr>
        <w:t>/201</w:t>
      </w:r>
      <w:r w:rsidR="00E3242B">
        <w:rPr>
          <w:rFonts w:ascii="Arial" w:hAnsi="Arial" w:cs="Arial"/>
          <w:b/>
        </w:rPr>
        <w:t>7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3F634A">
      <w:pPr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</w:t>
      </w:r>
      <w:r w:rsidR="00CF3954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endoskopowego oraz wieży laparoskopowej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E3242B">
        <w:rPr>
          <w:rFonts w:ascii="Arial" w:hAnsi="Arial" w:cs="Arial"/>
          <w:b/>
        </w:rPr>
        <w:t>017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B17277" w:rsidRDefault="00B17277" w:rsidP="00B17277"/>
    <w:p w:rsidR="00B17277" w:rsidRPr="006F6B4D" w:rsidRDefault="00B17277" w:rsidP="00B17277">
      <w:pPr>
        <w:jc w:val="center"/>
        <w:rPr>
          <w:sz w:val="22"/>
          <w:szCs w:val="22"/>
        </w:rPr>
      </w:pPr>
    </w:p>
    <w:p w:rsidR="00661003" w:rsidRPr="00920AFE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920AFE" w:rsidSect="004726DC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15" w:rsidRDefault="00B13915">
      <w:r>
        <w:separator/>
      </w:r>
    </w:p>
  </w:endnote>
  <w:endnote w:type="continuationSeparator" w:id="0">
    <w:p w:rsidR="00B13915" w:rsidRDefault="00B1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SansSeri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Default="008A2C40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Default="008A2C40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Default="008A2C40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37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37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Default="008A2C40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39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43A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15" w:rsidRDefault="00B13915">
      <w:r>
        <w:separator/>
      </w:r>
    </w:p>
  </w:footnote>
  <w:footnote w:type="continuationSeparator" w:id="0">
    <w:p w:rsidR="00B13915" w:rsidRDefault="00B1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Default="008A2C40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Pr="006938B2" w:rsidRDefault="008A2C40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40" w:rsidRPr="00B7234B" w:rsidRDefault="008A2C40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C5FE0"/>
    <w:multiLevelType w:val="multilevel"/>
    <w:tmpl w:val="9534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9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3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5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7"/>
  </w:num>
  <w:num w:numId="7">
    <w:abstractNumId w:val="24"/>
  </w:num>
  <w:num w:numId="8">
    <w:abstractNumId w:val="54"/>
  </w:num>
  <w:num w:numId="9">
    <w:abstractNumId w:val="55"/>
  </w:num>
  <w:num w:numId="10">
    <w:abstractNumId w:val="74"/>
  </w:num>
  <w:num w:numId="11">
    <w:abstractNumId w:val="42"/>
  </w:num>
  <w:num w:numId="12">
    <w:abstractNumId w:val="28"/>
  </w:num>
  <w:num w:numId="13">
    <w:abstractNumId w:val="68"/>
  </w:num>
  <w:num w:numId="14">
    <w:abstractNumId w:val="51"/>
  </w:num>
  <w:num w:numId="15">
    <w:abstractNumId w:val="75"/>
  </w:num>
  <w:num w:numId="16">
    <w:abstractNumId w:val="22"/>
  </w:num>
  <w:num w:numId="17">
    <w:abstractNumId w:val="43"/>
  </w:num>
  <w:num w:numId="18">
    <w:abstractNumId w:val="40"/>
  </w:num>
  <w:num w:numId="19">
    <w:abstractNumId w:val="65"/>
  </w:num>
  <w:num w:numId="20">
    <w:abstractNumId w:val="21"/>
  </w:num>
  <w:num w:numId="21">
    <w:abstractNumId w:val="20"/>
  </w:num>
  <w:num w:numId="22">
    <w:abstractNumId w:val="36"/>
  </w:num>
  <w:num w:numId="23">
    <w:abstractNumId w:val="62"/>
  </w:num>
  <w:num w:numId="24">
    <w:abstractNumId w:val="37"/>
  </w:num>
  <w:num w:numId="25">
    <w:abstractNumId w:val="69"/>
  </w:num>
  <w:num w:numId="26">
    <w:abstractNumId w:val="38"/>
  </w:num>
  <w:num w:numId="27">
    <w:abstractNumId w:val="5"/>
  </w:num>
  <w:num w:numId="28">
    <w:abstractNumId w:val="35"/>
  </w:num>
  <w:num w:numId="29">
    <w:abstractNumId w:val="32"/>
  </w:num>
  <w:num w:numId="30">
    <w:abstractNumId w:val="25"/>
  </w:num>
  <w:num w:numId="31">
    <w:abstractNumId w:val="60"/>
  </w:num>
  <w:num w:numId="32">
    <w:abstractNumId w:val="46"/>
  </w:num>
  <w:num w:numId="33">
    <w:abstractNumId w:val="23"/>
  </w:num>
  <w:num w:numId="34">
    <w:abstractNumId w:val="45"/>
  </w:num>
  <w:num w:numId="35">
    <w:abstractNumId w:val="18"/>
  </w:num>
  <w:num w:numId="36">
    <w:abstractNumId w:val="59"/>
  </w:num>
  <w:num w:numId="37">
    <w:abstractNumId w:val="19"/>
  </w:num>
  <w:num w:numId="38">
    <w:abstractNumId w:val="61"/>
  </w:num>
  <w:num w:numId="39">
    <w:abstractNumId w:val="72"/>
  </w:num>
  <w:num w:numId="40">
    <w:abstractNumId w:val="53"/>
  </w:num>
  <w:num w:numId="41">
    <w:abstractNumId w:val="67"/>
  </w:num>
  <w:num w:numId="42">
    <w:abstractNumId w:val="73"/>
  </w:num>
  <w:num w:numId="43">
    <w:abstractNumId w:val="56"/>
  </w:num>
  <w:num w:numId="44">
    <w:abstractNumId w:val="49"/>
  </w:num>
  <w:num w:numId="45">
    <w:abstractNumId w:val="39"/>
  </w:num>
  <w:num w:numId="46">
    <w:abstractNumId w:val="41"/>
  </w:num>
  <w:num w:numId="47">
    <w:abstractNumId w:val="27"/>
  </w:num>
  <w:num w:numId="48">
    <w:abstractNumId w:val="52"/>
  </w:num>
  <w:num w:numId="49">
    <w:abstractNumId w:val="17"/>
  </w:num>
  <w:num w:numId="50">
    <w:abstractNumId w:val="34"/>
  </w:num>
  <w:num w:numId="51">
    <w:abstractNumId w:val="71"/>
  </w:num>
  <w:num w:numId="52">
    <w:abstractNumId w:val="48"/>
  </w:num>
  <w:num w:numId="53">
    <w:abstractNumId w:val="76"/>
  </w:num>
  <w:num w:numId="54">
    <w:abstractNumId w:val="47"/>
  </w:num>
  <w:num w:numId="55">
    <w:abstractNumId w:val="64"/>
  </w:num>
  <w:num w:numId="56">
    <w:abstractNumId w:val="63"/>
  </w:num>
  <w:num w:numId="57">
    <w:abstractNumId w:val="44"/>
  </w:num>
  <w:num w:numId="58">
    <w:abstractNumId w:val="26"/>
  </w:num>
  <w:num w:numId="59">
    <w:abstractNumId w:val="30"/>
  </w:num>
  <w:num w:numId="60">
    <w:abstractNumId w:val="31"/>
  </w:num>
  <w:num w:numId="61">
    <w:abstractNumId w:val="50"/>
  </w:num>
  <w:num w:numId="62">
    <w:abstractNumId w:val="66"/>
  </w:num>
  <w:num w:numId="63">
    <w:abstractNumId w:val="58"/>
  </w:num>
  <w:num w:numId="64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3466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7A6"/>
    <w:rsid w:val="000B6DD6"/>
    <w:rsid w:val="000B7BFB"/>
    <w:rsid w:val="000C1935"/>
    <w:rsid w:val="000C2944"/>
    <w:rsid w:val="000C319F"/>
    <w:rsid w:val="000C74E5"/>
    <w:rsid w:val="000D0E64"/>
    <w:rsid w:val="000D0E94"/>
    <w:rsid w:val="000D43B4"/>
    <w:rsid w:val="000D5F17"/>
    <w:rsid w:val="000D62C2"/>
    <w:rsid w:val="000E0574"/>
    <w:rsid w:val="000E5F0E"/>
    <w:rsid w:val="000E6FAC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A7"/>
    <w:rsid w:val="00127B7F"/>
    <w:rsid w:val="0013032E"/>
    <w:rsid w:val="00132526"/>
    <w:rsid w:val="001330D7"/>
    <w:rsid w:val="00137974"/>
    <w:rsid w:val="00141017"/>
    <w:rsid w:val="00147633"/>
    <w:rsid w:val="00147B8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1F4AF3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554F9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7490"/>
    <w:rsid w:val="0033287E"/>
    <w:rsid w:val="00332B96"/>
    <w:rsid w:val="00333347"/>
    <w:rsid w:val="00334578"/>
    <w:rsid w:val="00337162"/>
    <w:rsid w:val="003436E1"/>
    <w:rsid w:val="00347E31"/>
    <w:rsid w:val="00350DFF"/>
    <w:rsid w:val="00351548"/>
    <w:rsid w:val="00364CCA"/>
    <w:rsid w:val="00366FD3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350A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07E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26DC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2B10"/>
    <w:rsid w:val="0054610F"/>
    <w:rsid w:val="00550635"/>
    <w:rsid w:val="00550A48"/>
    <w:rsid w:val="005537EF"/>
    <w:rsid w:val="00556753"/>
    <w:rsid w:val="005603F2"/>
    <w:rsid w:val="00566FE5"/>
    <w:rsid w:val="005677D9"/>
    <w:rsid w:val="005679CF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6FC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566"/>
    <w:rsid w:val="00775D5D"/>
    <w:rsid w:val="0077675C"/>
    <w:rsid w:val="0078103D"/>
    <w:rsid w:val="00781245"/>
    <w:rsid w:val="00786541"/>
    <w:rsid w:val="00794F08"/>
    <w:rsid w:val="00797706"/>
    <w:rsid w:val="007A14E8"/>
    <w:rsid w:val="007A1BE6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66A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4934"/>
    <w:rsid w:val="008854B8"/>
    <w:rsid w:val="00891C53"/>
    <w:rsid w:val="00894394"/>
    <w:rsid w:val="008A2C40"/>
    <w:rsid w:val="008A6A8F"/>
    <w:rsid w:val="008B110A"/>
    <w:rsid w:val="008B2198"/>
    <w:rsid w:val="008B2AAC"/>
    <w:rsid w:val="008B7259"/>
    <w:rsid w:val="008C13BD"/>
    <w:rsid w:val="008C35CD"/>
    <w:rsid w:val="008D26C7"/>
    <w:rsid w:val="008D5961"/>
    <w:rsid w:val="008D6991"/>
    <w:rsid w:val="008E0D44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306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59D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1761"/>
    <w:rsid w:val="009B2892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69EF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3915"/>
    <w:rsid w:val="00B15EEA"/>
    <w:rsid w:val="00B16AFC"/>
    <w:rsid w:val="00B17277"/>
    <w:rsid w:val="00B2179C"/>
    <w:rsid w:val="00B21846"/>
    <w:rsid w:val="00B21B5A"/>
    <w:rsid w:val="00B2594F"/>
    <w:rsid w:val="00B26B61"/>
    <w:rsid w:val="00B316F0"/>
    <w:rsid w:val="00B32C1A"/>
    <w:rsid w:val="00B334B4"/>
    <w:rsid w:val="00B347BE"/>
    <w:rsid w:val="00B34E3D"/>
    <w:rsid w:val="00B36746"/>
    <w:rsid w:val="00B36F3C"/>
    <w:rsid w:val="00B37513"/>
    <w:rsid w:val="00B408C7"/>
    <w:rsid w:val="00B4470D"/>
    <w:rsid w:val="00B45B3C"/>
    <w:rsid w:val="00B467DB"/>
    <w:rsid w:val="00B47780"/>
    <w:rsid w:val="00B47F30"/>
    <w:rsid w:val="00B501D5"/>
    <w:rsid w:val="00B50FE6"/>
    <w:rsid w:val="00B530EB"/>
    <w:rsid w:val="00B543A8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20BE"/>
    <w:rsid w:val="00C05E4E"/>
    <w:rsid w:val="00C07053"/>
    <w:rsid w:val="00C070FF"/>
    <w:rsid w:val="00C15720"/>
    <w:rsid w:val="00C201BC"/>
    <w:rsid w:val="00C2058A"/>
    <w:rsid w:val="00C246E1"/>
    <w:rsid w:val="00C25EC5"/>
    <w:rsid w:val="00C27857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3954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37E48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2E07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73CA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3B1C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99"/>
    <w:qFormat/>
    <w:rsid w:val="00EA73C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5C19-C904-4271-A7EA-F49241EF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40</Pages>
  <Words>12050</Words>
  <Characters>72301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84183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5</cp:revision>
  <cp:lastPrinted>2017-08-30T14:57:00Z</cp:lastPrinted>
  <dcterms:created xsi:type="dcterms:W3CDTF">2017-11-08T12:45:00Z</dcterms:created>
  <dcterms:modified xsi:type="dcterms:W3CDTF">2017-11-09T20:35:00Z</dcterms:modified>
</cp:coreProperties>
</file>