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568C52BC"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604ED3A8" w14:textId="1E2FD878" w:rsidR="00A132B1" w:rsidRPr="00A132B1" w:rsidRDefault="00A132B1" w:rsidP="00B879F5">
      <w:pPr>
        <w:spacing w:line="360" w:lineRule="auto"/>
        <w:jc w:val="center"/>
        <w:rPr>
          <w:rFonts w:ascii="Calibri" w:hAnsi="Calibri" w:cs="Calibri"/>
          <w:b/>
          <w:caps/>
          <w:color w:val="FF0000"/>
          <w:sz w:val="28"/>
          <w:szCs w:val="28"/>
          <w:u w:val="single"/>
        </w:rPr>
      </w:pPr>
      <w:r w:rsidRPr="00A132B1">
        <w:rPr>
          <w:rFonts w:ascii="Calibri" w:hAnsi="Calibri" w:cs="Calibri"/>
          <w:b/>
          <w:caps/>
          <w:color w:val="FF0000"/>
          <w:sz w:val="28"/>
          <w:szCs w:val="28"/>
          <w:u w:val="single"/>
        </w:rPr>
        <w:t>PO modyfikacji 20.04.2022 r.</w:t>
      </w:r>
    </w:p>
    <w:p w14:paraId="25215727" w14:textId="37F2A93C"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984BDD">
        <w:rPr>
          <w:rFonts w:ascii="Calibri" w:hAnsi="Calibri" w:cs="Calibri"/>
          <w:b/>
          <w:caps/>
          <w:sz w:val="28"/>
          <w:szCs w:val="28"/>
        </w:rPr>
        <w:t>4</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62B69199" w:rsidR="00750F52" w:rsidRPr="00B129F7" w:rsidRDefault="00B129F7"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B129F7">
        <w:rPr>
          <w:rFonts w:asciiTheme="minorHAnsi" w:hAnsiTheme="minorHAnsi" w:cstheme="minorHAnsi"/>
          <w:color w:val="0000FF"/>
          <w:sz w:val="48"/>
          <w:szCs w:val="48"/>
        </w:rPr>
        <w:t>2b52d462-3660-48f0-8729-d445c227eeb4</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6B40CECC" w:rsidR="00875331" w:rsidRPr="00DD5CF2" w:rsidRDefault="00CD5252" w:rsidP="00A44B36">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00037BBC">
        <w:rPr>
          <w:rFonts w:asciiTheme="minorHAnsi" w:hAnsiTheme="minorHAnsi" w:cstheme="minorHAnsi"/>
          <w:b/>
          <w:color w:val="000000"/>
          <w:szCs w:val="24"/>
        </w:rPr>
        <w:t>90</w:t>
      </w:r>
      <w:r w:rsidRPr="00DD5CF2">
        <w:rPr>
          <w:rFonts w:asciiTheme="minorHAnsi" w:hAnsiTheme="minorHAnsi" w:cstheme="minorHAnsi"/>
          <w:b/>
          <w:color w:val="000000"/>
          <w:szCs w:val="24"/>
        </w:rPr>
        <w:t>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A44B36">
      <w:pPr>
        <w:pStyle w:val="SIWZ1"/>
        <w:numPr>
          <w:ilvl w:val="0"/>
          <w:numId w:val="21"/>
        </w:numPr>
        <w:tabs>
          <w:tab w:val="clear" w:pos="426"/>
        </w:tabs>
        <w:spacing w:after="0"/>
        <w:rPr>
          <w:rFonts w:asciiTheme="minorHAnsi" w:hAnsiTheme="minorHAnsi" w:cstheme="minorHAnsi"/>
          <w:sz w:val="24"/>
          <w:szCs w:val="24"/>
        </w:rPr>
      </w:pPr>
      <w:bookmarkStart w:id="19" w:name="_Hlk97914347"/>
      <w:r w:rsidRPr="00DD5CF2">
        <w:rPr>
          <w:rFonts w:asciiTheme="minorHAnsi" w:hAnsiTheme="minorHAnsi" w:cstheme="minorHAnsi"/>
          <w:sz w:val="24"/>
          <w:szCs w:val="24"/>
        </w:rPr>
        <w:t>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lastRenderedPageBreak/>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 xml:space="preserve">Zgodnie z art. 95 ust. 2-3 ustawy z dnia 14 grudnia 2012 roku o odpadach - zakaźne odpady medyczne unieszkodliwia się przez termiczne przekształcanie w spalarniach odpadów niebezpiecznych. Zakazuje się ich unieszkodliwianie we </w:t>
      </w:r>
      <w:proofErr w:type="spellStart"/>
      <w:r w:rsidRPr="00DD5CF2">
        <w:rPr>
          <w:rFonts w:asciiTheme="minorHAnsi" w:hAnsiTheme="minorHAnsi" w:cstheme="minorHAnsi"/>
          <w:szCs w:val="24"/>
        </w:rPr>
        <w:t>współspalarniach</w:t>
      </w:r>
      <w:proofErr w:type="spellEnd"/>
      <w:r w:rsidRPr="00DD5CF2">
        <w:rPr>
          <w:rFonts w:asciiTheme="minorHAnsi" w:hAnsiTheme="minorHAnsi" w:cstheme="minorHAnsi"/>
          <w:szCs w:val="24"/>
        </w:rPr>
        <w:t xml:space="preserve">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DD5CF2">
        <w:rPr>
          <w:rFonts w:asciiTheme="minorHAnsi" w:hAnsiTheme="minorHAnsi" w:cstheme="minorHAnsi"/>
          <w:sz w:val="24"/>
          <w:szCs w:val="24"/>
        </w:rPr>
        <w:t>t.j</w:t>
      </w:r>
      <w:proofErr w:type="spellEnd"/>
      <w:r w:rsidRPr="00DD5CF2">
        <w:rPr>
          <w:rFonts w:asciiTheme="minorHAnsi" w:hAnsiTheme="minorHAnsi" w:cstheme="minorHAnsi"/>
          <w:sz w:val="24"/>
          <w:szCs w:val="24"/>
        </w:rPr>
        <w:t xml:space="preserve">. Dz. U. z 2020r. poz. 1320 z </w:t>
      </w:r>
      <w:proofErr w:type="spellStart"/>
      <w:r w:rsidRPr="00DD5CF2">
        <w:rPr>
          <w:rFonts w:asciiTheme="minorHAnsi" w:hAnsiTheme="minorHAnsi" w:cstheme="minorHAnsi"/>
          <w:sz w:val="24"/>
          <w:szCs w:val="24"/>
        </w:rPr>
        <w:t>późn</w:t>
      </w:r>
      <w:proofErr w:type="spellEnd"/>
      <w:r w:rsidRPr="00DD5CF2">
        <w:rPr>
          <w:rFonts w:asciiTheme="minorHAnsi" w:hAnsiTheme="minorHAnsi" w:cstheme="minorHAnsi"/>
          <w:sz w:val="24"/>
          <w:szCs w:val="24"/>
        </w:rPr>
        <w:t>.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21D27DEC"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82403F">
        <w:rPr>
          <w:rFonts w:asciiTheme="minorHAnsi" w:hAnsiTheme="minorHAnsi"/>
          <w:sz w:val="24"/>
          <w:szCs w:val="24"/>
        </w:rPr>
        <w:t>12</w:t>
      </w:r>
      <w:r w:rsidR="00D635E3" w:rsidRPr="00DD5CF2">
        <w:rPr>
          <w:rFonts w:asciiTheme="minorHAnsi" w:hAnsiTheme="minorHAnsi"/>
          <w:sz w:val="24"/>
          <w:szCs w:val="24"/>
        </w:rPr>
        <w:t xml:space="preserve"> </w:t>
      </w:r>
      <w:r w:rsidR="00E44A5A" w:rsidRPr="00DD5CF2">
        <w:rPr>
          <w:rFonts w:asciiTheme="minorHAnsi" w:hAnsiTheme="minorHAnsi"/>
          <w:sz w:val="24"/>
          <w:szCs w:val="24"/>
        </w:rPr>
        <w:t>miesięc</w:t>
      </w:r>
      <w:r w:rsidR="00E44A5A">
        <w:rPr>
          <w:rFonts w:asciiTheme="minorHAnsi" w:hAnsiTheme="minorHAnsi"/>
          <w:sz w:val="24"/>
          <w:szCs w:val="24"/>
        </w:rPr>
        <w:t>y</w:t>
      </w:r>
      <w:r w:rsidR="00D635E3" w:rsidRPr="00DD5CF2">
        <w:rPr>
          <w:rFonts w:asciiTheme="minorHAnsi" w:hAnsiTheme="minorHAnsi"/>
          <w:sz w:val="24"/>
          <w:szCs w:val="24"/>
        </w:rPr>
        <w:t xml:space="preserve"> od dnia obowiązywania umowy jednak nie wcześniej niż od </w:t>
      </w:r>
      <w:r w:rsidR="00A44B36">
        <w:rPr>
          <w:rFonts w:asciiTheme="minorHAnsi" w:hAnsiTheme="minorHAnsi"/>
          <w:b/>
          <w:bCs/>
          <w:sz w:val="24"/>
          <w:szCs w:val="24"/>
        </w:rPr>
        <w:t>01</w:t>
      </w:r>
      <w:r w:rsidR="00D635E3" w:rsidRPr="00DD5CF2">
        <w:rPr>
          <w:rFonts w:asciiTheme="minorHAnsi" w:hAnsiTheme="minorHAnsi"/>
          <w:b/>
          <w:bCs/>
          <w:sz w:val="24"/>
          <w:szCs w:val="24"/>
        </w:rPr>
        <w:t>.0</w:t>
      </w:r>
      <w:r w:rsidR="00A44B36">
        <w:rPr>
          <w:rFonts w:asciiTheme="minorHAnsi" w:hAnsiTheme="minorHAnsi"/>
          <w:b/>
          <w:bCs/>
          <w:sz w:val="24"/>
          <w:szCs w:val="24"/>
        </w:rPr>
        <w:t>5</w:t>
      </w:r>
      <w:r w:rsidR="00D635E3" w:rsidRPr="00DD5CF2">
        <w:rPr>
          <w:rFonts w:asciiTheme="minorHAnsi" w:hAnsiTheme="minorHAnsi"/>
          <w:b/>
          <w:bCs/>
          <w:sz w:val="24"/>
          <w:szCs w:val="24"/>
        </w:rPr>
        <w:t>.2022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z dnia 25 czerwca 2010 r. o sporcie (Dz. U. z 2020 r. poz. 1133 oraz z 2021 r. poz. 2054) lub w art. 54 ust. 1–4 ustawy z dnia 12 maja 2011 r. o refundacji leków, </w:t>
      </w:r>
      <w:r w:rsidRPr="00C13A69">
        <w:rPr>
          <w:rFonts w:asciiTheme="minorHAnsi" w:hAnsiTheme="minorHAnsi" w:cstheme="minorHAnsi"/>
          <w:bCs/>
        </w:rPr>
        <w:lastRenderedPageBreak/>
        <w:t>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lastRenderedPageBreak/>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F41214" w14:textId="77777777" w:rsidR="00411E26" w:rsidRDefault="00D635E3" w:rsidP="00411E26">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5F92D137" w14:textId="4A0D186B" w:rsidR="00411E26" w:rsidRPr="00411E26" w:rsidRDefault="00411E26" w:rsidP="00411E26">
      <w:pPr>
        <w:pStyle w:val="Akapitzlist"/>
        <w:widowControl w:val="0"/>
        <w:numPr>
          <w:ilvl w:val="0"/>
          <w:numId w:val="69"/>
        </w:numPr>
        <w:tabs>
          <w:tab w:val="left" w:pos="426"/>
        </w:tabs>
        <w:autoSpaceDN w:val="0"/>
        <w:spacing w:after="120"/>
        <w:ind w:left="426" w:hanging="426"/>
        <w:rPr>
          <w:rStyle w:val="markedcontent"/>
          <w:rFonts w:asciiTheme="minorHAnsi" w:hAnsiTheme="minorHAnsi" w:cstheme="minorHAnsi"/>
        </w:rPr>
      </w:pPr>
      <w:r w:rsidRPr="00411E26">
        <w:rPr>
          <w:rFonts w:asciiTheme="minorHAnsi" w:hAnsiTheme="minorHAnsi" w:cstheme="minorHAnsi"/>
          <w:color w:val="FF0000"/>
        </w:rPr>
        <w:t xml:space="preserve">Ponadto z </w:t>
      </w:r>
      <w:r w:rsidRPr="00411E26">
        <w:rPr>
          <w:rStyle w:val="markedcontent"/>
          <w:rFonts w:asciiTheme="minorHAnsi" w:hAnsiTheme="minorHAnsi" w:cstheme="minorHAnsi"/>
          <w:color w:val="FF0000"/>
        </w:rPr>
        <w:t>postępowania o udzielenie zamówienia publicznego</w:t>
      </w:r>
      <w:r w:rsidRPr="00411E26">
        <w:rPr>
          <w:rFonts w:asciiTheme="minorHAnsi" w:hAnsiTheme="minorHAnsi" w:cstheme="minorHAnsi"/>
          <w:color w:val="FF0000"/>
        </w:rPr>
        <w:t xml:space="preserve"> </w:t>
      </w:r>
      <w:r w:rsidRPr="00411E26">
        <w:rPr>
          <w:rStyle w:val="markedcontent"/>
          <w:rFonts w:asciiTheme="minorHAnsi" w:hAnsiTheme="minorHAnsi" w:cstheme="minorHAnsi"/>
          <w:color w:val="FF0000"/>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E712125" w14:textId="77777777" w:rsidR="00411E26" w:rsidRPr="00411E26" w:rsidRDefault="00411E26" w:rsidP="00411E26">
      <w:pPr>
        <w:pStyle w:val="SIWZ1"/>
        <w:numPr>
          <w:ilvl w:val="0"/>
          <w:numId w:val="86"/>
        </w:numPr>
        <w:tabs>
          <w:tab w:val="clear" w:pos="426"/>
          <w:tab w:val="left" w:pos="709"/>
        </w:tabs>
        <w:ind w:left="709"/>
        <w:rPr>
          <w:rStyle w:val="markedcontent"/>
          <w:rFonts w:asciiTheme="minorHAnsi" w:hAnsiTheme="minorHAnsi" w:cstheme="minorHAnsi"/>
          <w:color w:val="FF0000"/>
          <w:sz w:val="24"/>
          <w:szCs w:val="24"/>
        </w:rPr>
      </w:pPr>
      <w:r w:rsidRPr="00411E26">
        <w:rPr>
          <w:rStyle w:val="markedcontent"/>
          <w:rFonts w:asciiTheme="minorHAnsi" w:hAnsiTheme="minorHAnsi" w:cstheme="minorHAnsi"/>
          <w:color w:val="FF0000"/>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11E26">
        <w:rPr>
          <w:rStyle w:val="markedcontent"/>
          <w:rFonts w:asciiTheme="minorHAnsi" w:hAnsiTheme="minorHAnsi" w:cstheme="minorHAnsi"/>
          <w:color w:val="FF0000"/>
          <w:sz w:val="24"/>
          <w:szCs w:val="24"/>
        </w:rPr>
        <w:t>późn</w:t>
      </w:r>
      <w:proofErr w:type="spellEnd"/>
      <w:r w:rsidRPr="00411E26">
        <w:rPr>
          <w:rStyle w:val="markedcontent"/>
          <w:rFonts w:asciiTheme="minorHAnsi" w:hAnsiTheme="minorHAnsi" w:cstheme="minorHAnsi"/>
          <w:color w:val="FF0000"/>
          <w:sz w:val="24"/>
          <w:szCs w:val="24"/>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11E26">
        <w:rPr>
          <w:rStyle w:val="markedcontent"/>
          <w:rFonts w:asciiTheme="minorHAnsi" w:hAnsiTheme="minorHAnsi" w:cstheme="minorHAnsi"/>
          <w:color w:val="FF0000"/>
          <w:sz w:val="24"/>
          <w:szCs w:val="24"/>
        </w:rPr>
        <w:t>późn</w:t>
      </w:r>
      <w:proofErr w:type="spellEnd"/>
      <w:r w:rsidRPr="00411E26">
        <w:rPr>
          <w:rStyle w:val="markedcontent"/>
          <w:rFonts w:asciiTheme="minorHAnsi" w:hAnsiTheme="minorHAnsi" w:cstheme="minorHAnsi"/>
          <w:color w:val="FF0000"/>
          <w:sz w:val="24"/>
          <w:szCs w:val="24"/>
        </w:rPr>
        <w:t>. zm.), zwanego dalej „rozporządzeniem 269/2014” albo wpisanego na listę na podstawie decyzji w sprawie wpisu na listę rozstrzygającej o zastosowaniu środka, o którym mowa w art. 1 pkt 3 ustawy o szczególnych rozwiązaniach;</w:t>
      </w:r>
    </w:p>
    <w:p w14:paraId="75114D13" w14:textId="77777777" w:rsidR="00411E26" w:rsidRPr="00411E26" w:rsidRDefault="00411E26" w:rsidP="00411E26">
      <w:pPr>
        <w:pStyle w:val="SIWZ1"/>
        <w:numPr>
          <w:ilvl w:val="0"/>
          <w:numId w:val="86"/>
        </w:numPr>
        <w:ind w:left="709"/>
        <w:rPr>
          <w:rStyle w:val="markedcontent"/>
          <w:rFonts w:asciiTheme="minorHAnsi" w:hAnsiTheme="minorHAnsi" w:cstheme="minorHAnsi"/>
          <w:color w:val="FF0000"/>
          <w:sz w:val="24"/>
          <w:szCs w:val="24"/>
        </w:rPr>
      </w:pPr>
      <w:r w:rsidRPr="00411E26">
        <w:rPr>
          <w:rStyle w:val="markedcontent"/>
          <w:rFonts w:asciiTheme="minorHAnsi" w:hAnsiTheme="minorHAnsi" w:cstheme="minorHAnsi"/>
          <w:color w:val="FF0000"/>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3C6BA6E" w14:textId="77777777" w:rsidR="00411E26" w:rsidRPr="00411E26" w:rsidRDefault="00411E26" w:rsidP="00411E26">
      <w:pPr>
        <w:pStyle w:val="SIWZ1"/>
        <w:numPr>
          <w:ilvl w:val="0"/>
          <w:numId w:val="86"/>
        </w:numPr>
        <w:ind w:left="709"/>
        <w:rPr>
          <w:rFonts w:asciiTheme="minorHAnsi" w:hAnsiTheme="minorHAnsi" w:cstheme="minorHAnsi"/>
          <w:color w:val="FF0000"/>
          <w:sz w:val="24"/>
          <w:szCs w:val="24"/>
        </w:rPr>
      </w:pPr>
      <w:r w:rsidRPr="00411E26">
        <w:rPr>
          <w:rStyle w:val="markedcontent"/>
          <w:rFonts w:asciiTheme="minorHAnsi" w:hAnsiTheme="minorHAnsi" w:cstheme="minorHAnsi"/>
          <w:color w:val="FF0000"/>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BDC3642" w14:textId="77777777" w:rsidR="00411E26" w:rsidRPr="00411E26" w:rsidRDefault="00411E26" w:rsidP="00411E26">
      <w:pPr>
        <w:pStyle w:val="SIWZ1"/>
        <w:numPr>
          <w:ilvl w:val="0"/>
          <w:numId w:val="69"/>
        </w:numPr>
        <w:tabs>
          <w:tab w:val="clear" w:pos="426"/>
        </w:tabs>
        <w:ind w:left="426"/>
        <w:rPr>
          <w:rFonts w:asciiTheme="minorHAnsi" w:hAnsiTheme="minorHAnsi" w:cstheme="minorHAnsi"/>
          <w:color w:val="FF0000"/>
          <w:sz w:val="24"/>
          <w:szCs w:val="24"/>
        </w:rPr>
      </w:pPr>
      <w:r w:rsidRPr="00411E26">
        <w:rPr>
          <w:rFonts w:asciiTheme="minorHAnsi" w:hAnsiTheme="minorHAnsi" w:cstheme="minorHAnsi"/>
          <w:color w:val="FF0000"/>
          <w:sz w:val="24"/>
          <w:szCs w:val="24"/>
        </w:rPr>
        <w:t>Wykluczenie, o którym mowa w ust. 4 powyżej, następuje na okres trwania okoliczności określonych w ust. 4 powyżej.</w:t>
      </w:r>
    </w:p>
    <w:p w14:paraId="2C0D5C82" w14:textId="57427701" w:rsidR="00BF28D3" w:rsidRPr="00411E26" w:rsidRDefault="00411E26" w:rsidP="00411E26">
      <w:pPr>
        <w:pStyle w:val="SIWZ1"/>
        <w:numPr>
          <w:ilvl w:val="0"/>
          <w:numId w:val="69"/>
        </w:numPr>
        <w:tabs>
          <w:tab w:val="clear" w:pos="426"/>
        </w:tabs>
        <w:ind w:left="426"/>
        <w:rPr>
          <w:rFonts w:asciiTheme="minorHAnsi" w:hAnsiTheme="minorHAnsi" w:cstheme="minorHAnsi"/>
          <w:color w:val="FF0000"/>
          <w:sz w:val="24"/>
          <w:szCs w:val="24"/>
        </w:rPr>
      </w:pPr>
      <w:r w:rsidRPr="00411E26">
        <w:rPr>
          <w:rFonts w:asciiTheme="minorHAnsi" w:hAnsiTheme="minorHAnsi" w:cstheme="minorHAnsi"/>
          <w:color w:val="FF0000"/>
          <w:sz w:val="24"/>
          <w:szCs w:val="24"/>
        </w:rPr>
        <w:t>W przypadku wykonawcy wykluczonego na podstawie ust. 4 powyżej, zamawiający odrzuca ofertę takiego wykonawcy na podstawie art. 7 ust. 3 ustawy o szczególnych rozwiązaniach.</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lastRenderedPageBreak/>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lastRenderedPageBreak/>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lastRenderedPageBreak/>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Iwona </w:t>
      </w:r>
      <w:proofErr w:type="spellStart"/>
      <w:r>
        <w:rPr>
          <w:rFonts w:asciiTheme="minorHAnsi" w:eastAsia="Calibri" w:hAnsiTheme="minorHAnsi" w:cstheme="minorHAnsi"/>
        </w:rPr>
        <w:t>Kalitowska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lastRenderedPageBreak/>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3BA11DE8"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84BDD">
        <w:rPr>
          <w:rFonts w:ascii="Calibri" w:hAnsi="Calibri" w:cs="Calibri"/>
          <w:b/>
          <w:bCs/>
          <w:szCs w:val="24"/>
        </w:rPr>
        <w:t>21</w:t>
      </w:r>
      <w:r w:rsidR="00276632" w:rsidRPr="00986E44">
        <w:rPr>
          <w:rFonts w:ascii="Calibri" w:hAnsi="Calibri" w:cs="Calibri"/>
          <w:b/>
          <w:bCs/>
          <w:caps/>
          <w:szCs w:val="24"/>
        </w:rPr>
        <w:t>.0</w:t>
      </w:r>
      <w:r w:rsidR="00A44B36">
        <w:rPr>
          <w:rFonts w:ascii="Calibri" w:hAnsi="Calibri" w:cs="Calibri"/>
          <w:b/>
          <w:bCs/>
          <w:caps/>
          <w:szCs w:val="24"/>
        </w:rPr>
        <w:t>5</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lastRenderedPageBreak/>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 xml:space="preserve">przypadku gdy dokumenty potwierdzające umocowanie do reprezentowania, zostały wystawione przez upoważnione podmioty jako dokument w </w:t>
      </w:r>
      <w:r w:rsidR="00B05507" w:rsidRPr="009F5473">
        <w:rPr>
          <w:rFonts w:ascii="Calibri" w:hAnsi="Calibri" w:cs="Calibri"/>
          <w:sz w:val="24"/>
          <w:szCs w:val="24"/>
        </w:rPr>
        <w:lastRenderedPageBreak/>
        <w:t>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38DA15CC"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022BDC">
        <w:rPr>
          <w:rFonts w:ascii="Calibri" w:eastAsia="Calibri" w:hAnsi="Calibri" w:cs="Calibri"/>
          <w:b/>
          <w:bCs/>
        </w:rPr>
        <w:t>22</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59385B97"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lastRenderedPageBreak/>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022BDC">
        <w:rPr>
          <w:rFonts w:ascii="Calibri" w:eastAsia="Calibri" w:hAnsi="Calibri" w:cs="Calibri"/>
          <w:b/>
          <w:bCs/>
        </w:rPr>
        <w:t>22</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lastRenderedPageBreak/>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4910DDC6"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 xml:space="preserve">Czas realizacji dodatkowego wywozu (T) – </w:t>
      </w:r>
      <w:r w:rsidR="00022BDC">
        <w:rPr>
          <w:rFonts w:asciiTheme="minorHAnsi" w:hAnsiTheme="minorHAnsi" w:cstheme="minorHAnsi"/>
          <w:b/>
          <w:sz w:val="24"/>
          <w:szCs w:val="24"/>
        </w:rPr>
        <w:t>4</w:t>
      </w:r>
      <w:r w:rsidRPr="00986E44">
        <w:rPr>
          <w:rFonts w:asciiTheme="minorHAnsi" w:hAnsiTheme="minorHAnsi" w:cstheme="minorHAnsi"/>
          <w:b/>
          <w:sz w:val="24"/>
          <w:szCs w:val="24"/>
        </w:rPr>
        <w:t>0%</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FE074CB"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rPr>
        <w:t xml:space="preserve">czas realizacji dodatkowego wywozu – </w:t>
      </w:r>
      <w:r w:rsidR="00022BDC">
        <w:rPr>
          <w:rFonts w:asciiTheme="minorHAnsi" w:hAnsiTheme="minorHAnsi" w:cstheme="minorHAnsi"/>
          <w:b/>
        </w:rPr>
        <w:t>4</w:t>
      </w:r>
      <w:r w:rsidRPr="00986E44">
        <w:rPr>
          <w:rFonts w:asciiTheme="minorHAnsi" w:hAnsiTheme="minorHAnsi" w:cstheme="minorHAnsi"/>
          <w:b/>
        </w:rPr>
        <w:t xml:space="preserve">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12E963EC"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4</w:t>
            </w:r>
            <w:r w:rsidR="00986E44" w:rsidRPr="00986E44">
              <w:rPr>
                <w:rFonts w:asciiTheme="minorHAnsi" w:hAnsiTheme="minorHAnsi" w:cstheme="minorHAnsi"/>
                <w:szCs w:val="24"/>
              </w:rPr>
              <w:t>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42A998E6"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30</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116995"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2</w:t>
            </w:r>
            <w:r w:rsidR="00986E44" w:rsidRPr="00986E44">
              <w:rPr>
                <w:rFonts w:asciiTheme="minorHAnsi" w:hAnsiTheme="minorHAnsi" w:cstheme="minorHAnsi"/>
                <w:szCs w:val="24"/>
              </w:rPr>
              <w:t>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lastRenderedPageBreak/>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59211A3C"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lastRenderedPageBreak/>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w:t>
      </w:r>
      <w:r w:rsidRPr="009F5473">
        <w:rPr>
          <w:rFonts w:ascii="Calibri" w:hAnsi="Calibri" w:cs="Calibri"/>
          <w:sz w:val="24"/>
          <w:szCs w:val="20"/>
          <w:lang w:eastAsia="ar-SA"/>
        </w:rPr>
        <w:lastRenderedPageBreak/>
        <w:t xml:space="preserve">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lastRenderedPageBreak/>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przysługuje Pani/Panu prawo wniesienia skargi do organu nadzorczego na niezgodne z RODO przetwarzanie Pani/Pana danych osobowych przez administratora. Organem </w:t>
      </w:r>
      <w:r w:rsidRPr="003A4111">
        <w:rPr>
          <w:rFonts w:ascii="Calibri" w:hAnsi="Calibri" w:cs="Calibri"/>
        </w:rPr>
        <w:lastRenderedPageBreak/>
        <w:t>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 xml:space="preserve">Iwona </w:t>
      </w:r>
      <w:proofErr w:type="spellStart"/>
      <w:r>
        <w:rPr>
          <w:rFonts w:asciiTheme="minorHAnsi" w:hAnsiTheme="minorHAnsi"/>
        </w:rPr>
        <w:t>Kalitowska</w:t>
      </w:r>
      <w:proofErr w:type="spellEnd"/>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5CA1C30"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DE2AA4">
        <w:rPr>
          <w:rFonts w:ascii="Calibri" w:hAnsi="Calibri"/>
        </w:rPr>
        <w:t>14</w:t>
      </w:r>
      <w:r>
        <w:rPr>
          <w:rFonts w:ascii="Calibri" w:hAnsi="Calibri"/>
        </w:rPr>
        <w:t xml:space="preserve"> </w:t>
      </w:r>
      <w:r w:rsidR="00A44B36">
        <w:rPr>
          <w:rFonts w:ascii="Calibri" w:hAnsi="Calibri"/>
        </w:rPr>
        <w:t>kwietnia</w:t>
      </w:r>
      <w:r w:rsidR="00BF5AA7" w:rsidRPr="00BF5AA7">
        <w:rPr>
          <w:rFonts w:ascii="Calibri" w:hAnsi="Calibri"/>
        </w:rPr>
        <w:t xml:space="preserve"> 202</w:t>
      </w:r>
      <w:r w:rsidR="0048260E">
        <w:rPr>
          <w:rFonts w:ascii="Calibri" w:hAnsi="Calibri"/>
        </w:rPr>
        <w:t>2</w:t>
      </w: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489B7B95" w14:textId="151F3672" w:rsidR="00BF5AA7" w:rsidRPr="00294222" w:rsidRDefault="0055064F" w:rsidP="00DE2AA4">
      <w:pPr>
        <w:pStyle w:val="Akapitzlist"/>
        <w:widowControl w:val="0"/>
        <w:suppressAutoHyphens/>
        <w:overflowPunct w:val="0"/>
        <w:autoSpaceDE w:val="0"/>
        <w:spacing w:after="0"/>
        <w:ind w:left="4962"/>
        <w:jc w:val="center"/>
        <w:textAlignment w:val="baseline"/>
        <w:rPr>
          <w:rFonts w:eastAsia="Calibri"/>
        </w:rPr>
      </w:pPr>
      <w:r>
        <w:rPr>
          <w:rFonts w:ascii="Calibri" w:hAnsi="Calibri"/>
          <w:sz w:val="22"/>
          <w:szCs w:val="22"/>
        </w:rPr>
        <w:t>/podpis na oryginale/</w:t>
      </w: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E2AA4">
          <w:pgSz w:w="11906" w:h="16838"/>
          <w:pgMar w:top="1417" w:right="1417" w:bottom="1276"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54C31AE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DE2AA4">
        <w:rPr>
          <w:rFonts w:ascii="Calibri" w:hAnsi="Calibri"/>
        </w:rPr>
        <w:t>4</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01712BD0"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DE2AA4">
              <w:rPr>
                <w:rFonts w:ascii="Calibri" w:hAnsi="Calibri" w:cs="Calibri"/>
                <w:b/>
              </w:rPr>
              <w:t>4</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3C0A6FA2" w:rsidR="001562F7" w:rsidRPr="00C03144" w:rsidRDefault="001562F7" w:rsidP="001A7228">
      <w:pPr>
        <w:pStyle w:val="Nagwek2"/>
        <w:tabs>
          <w:tab w:val="right" w:pos="8640"/>
          <w:tab w:val="right" w:pos="13984"/>
        </w:tabs>
        <w:spacing w:before="0" w:after="0"/>
        <w:rPr>
          <w:rFonts w:asciiTheme="minorHAnsi" w:hAnsiTheme="minorHAnsi"/>
          <w:bCs w:val="0"/>
          <w:iCs/>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sidR="005F3E81">
        <w:rPr>
          <w:rFonts w:asciiTheme="minorHAnsi" w:hAnsiTheme="minorHAnsi"/>
        </w:rPr>
        <w:t>0</w:t>
      </w:r>
      <w:r w:rsidR="00DE2AA4">
        <w:rPr>
          <w:rFonts w:asciiTheme="minorHAnsi" w:hAnsiTheme="minorHAnsi"/>
        </w:rPr>
        <w:t>4</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04DA3169" w:rsidR="005F3E81" w:rsidRPr="007411DE" w:rsidRDefault="00EF4489" w:rsidP="00766D22">
            <w:pPr>
              <w:tabs>
                <w:tab w:val="right" w:pos="14580"/>
              </w:tabs>
              <w:jc w:val="center"/>
              <w:rPr>
                <w:rFonts w:asciiTheme="minorHAnsi" w:hAnsiTheme="minorHAnsi" w:cs="Arial"/>
                <w:sz w:val="20"/>
              </w:rPr>
            </w:pPr>
            <w:r>
              <w:rPr>
                <w:rFonts w:asciiTheme="minorHAnsi" w:hAnsiTheme="minorHAnsi" w:cs="Arial"/>
                <w:sz w:val="20"/>
              </w:rPr>
              <w:t>108 000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20F8BC76" w:rsidR="007411DE" w:rsidRPr="001A7228" w:rsidRDefault="007411DE" w:rsidP="007411DE">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1B426E39" w:rsidR="001A7228" w:rsidRPr="001A7228" w:rsidRDefault="007411DE"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nie podlegam wykluczeniu z postępowania na podstawie art. 108 ust 1 pkt. 1-6 ustawy</w:t>
            </w:r>
            <w:r>
              <w:rPr>
                <w:rFonts w:asciiTheme="minorHAnsi" w:hAnsiTheme="minorHAnsi" w:cstheme="minorHAnsi"/>
              </w:rPr>
              <w:t xml:space="preserve"> oraz art. 109 ust. 1 pkt 4.</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44901791" w:rsidR="007411DE" w:rsidRDefault="007411DE" w:rsidP="007411DE">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79C52111" w:rsidR="003E5B9E" w:rsidRPr="00B34319" w:rsidRDefault="003E5B9E" w:rsidP="003E5B9E">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DE2AA4">
        <w:rPr>
          <w:rFonts w:ascii="Calibri" w:hAnsi="Calibri"/>
        </w:rPr>
        <w:t>4</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1875A344"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z dnia 11 września 2019 r. - Prawo zamówień publicznych (</w:t>
      </w:r>
      <w:proofErr w:type="spellStart"/>
      <w:r w:rsidR="00DE2AA4">
        <w:rPr>
          <w:rFonts w:ascii="Calibri" w:hAnsi="Calibri" w:cs="Calibri"/>
          <w:szCs w:val="24"/>
        </w:rPr>
        <w:t>t.j</w:t>
      </w:r>
      <w:proofErr w:type="spellEnd"/>
      <w:r w:rsidR="00DE2AA4">
        <w:rPr>
          <w:rFonts w:ascii="Calibri" w:hAnsi="Calibri" w:cs="Calibri"/>
          <w:szCs w:val="24"/>
        </w:rPr>
        <w:t xml:space="preserve">. </w:t>
      </w:r>
      <w:r w:rsidRPr="009F5473">
        <w:rPr>
          <w:rFonts w:ascii="Calibri" w:hAnsi="Calibri" w:cs="Calibri"/>
          <w:szCs w:val="24"/>
        </w:rPr>
        <w:t xml:space="preserve">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w:t>
      </w:r>
      <w:r w:rsidR="007717E9">
        <w:rPr>
          <w:rFonts w:asciiTheme="minorHAnsi" w:hAnsiTheme="minorHAnsi"/>
          <w:b/>
          <w:bCs/>
          <w:iCs/>
          <w:szCs w:val="24"/>
        </w:rPr>
        <w:t> </w:t>
      </w:r>
      <w:r w:rsidRPr="00E409FE">
        <w:rPr>
          <w:rFonts w:asciiTheme="minorHAnsi" w:hAnsiTheme="minorHAnsi"/>
          <w:b/>
          <w:bCs/>
          <w:iCs/>
          <w:szCs w:val="24"/>
        </w:rPr>
        <w:t>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DE2AA4">
        <w:rPr>
          <w:rFonts w:ascii="Calibri" w:hAnsi="Calibri" w:cs="Calibri"/>
          <w:b/>
          <w:bCs/>
          <w:szCs w:val="24"/>
          <w:lang w:eastAsia="pl-PL"/>
        </w:rPr>
        <w:t>4</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58870224"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037BBC">
        <w:rPr>
          <w:rFonts w:asciiTheme="minorHAnsi" w:hAnsiTheme="minorHAnsi"/>
          <w:b/>
          <w:bCs/>
        </w:rPr>
        <w:t>9 0</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6816EF">
        <w:rPr>
          <w:rFonts w:asciiTheme="minorHAnsi" w:hAnsiTheme="minorHAnsi" w:cstheme="minorHAnsi"/>
          <w:szCs w:val="24"/>
        </w:rPr>
        <w:t>t.j</w:t>
      </w:r>
      <w:proofErr w:type="spellEnd"/>
      <w:r w:rsidRPr="006816EF">
        <w:rPr>
          <w:rFonts w:asciiTheme="minorHAnsi" w:hAnsiTheme="minorHAnsi" w:cstheme="minorHAnsi"/>
          <w:szCs w:val="24"/>
        </w:rPr>
        <w:t xml:space="preserve">. Dz. U. z 2020r. poz. 1320 z </w:t>
      </w:r>
      <w:proofErr w:type="spellStart"/>
      <w:r w:rsidRPr="006816EF">
        <w:rPr>
          <w:rFonts w:asciiTheme="minorHAnsi" w:hAnsiTheme="minorHAnsi" w:cstheme="minorHAnsi"/>
          <w:szCs w:val="24"/>
        </w:rPr>
        <w:t>późn</w:t>
      </w:r>
      <w:proofErr w:type="spellEnd"/>
      <w:r w:rsidRPr="006816EF">
        <w:rPr>
          <w:rFonts w:asciiTheme="minorHAnsi" w:hAnsiTheme="minorHAnsi" w:cstheme="minorHAnsi"/>
          <w:szCs w:val="24"/>
        </w:rPr>
        <w:t>.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BB359D">
        <w:rPr>
          <w:rFonts w:asciiTheme="minorHAnsi" w:hAnsiTheme="minorHAnsi" w:cs="Arial"/>
          <w:szCs w:val="24"/>
          <w:lang w:eastAsia="pl-PL"/>
        </w:rPr>
        <w:t>t.j</w:t>
      </w:r>
      <w:proofErr w:type="spellEnd"/>
      <w:r w:rsidRPr="00BB359D">
        <w:rPr>
          <w:rFonts w:asciiTheme="minorHAnsi" w:hAnsiTheme="minorHAnsi" w:cs="Arial"/>
          <w:szCs w:val="24"/>
          <w:lang w:eastAsia="pl-PL"/>
        </w:rPr>
        <w:t>.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1A9ED429"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Płatność za usługę dokonana zostanie przelewem na konto Wykonawcy do </w:t>
      </w:r>
      <w:r w:rsidR="00DE2AA4" w:rsidRPr="00DE2AA4">
        <w:rPr>
          <w:rFonts w:asciiTheme="minorHAnsi" w:hAnsiTheme="minorHAnsi"/>
          <w:b/>
          <w:bCs/>
        </w:rPr>
        <w:t>60</w:t>
      </w:r>
      <w:r w:rsidRPr="00DE2AA4">
        <w:rPr>
          <w:rFonts w:asciiTheme="minorHAnsi" w:hAnsiTheme="minorHAnsi"/>
          <w:b/>
          <w:bCs/>
        </w:rPr>
        <w:t xml:space="preserve"> dni</w:t>
      </w:r>
      <w:r w:rsidRPr="0022082D">
        <w:rPr>
          <w:rFonts w:asciiTheme="minorHAnsi" w:hAnsiTheme="minorHAnsi"/>
        </w:rPr>
        <w:t xml:space="preserve">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1ED9C455"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 xml:space="preserve">umowy (suma ubezpieczenia min. </w:t>
      </w:r>
      <w:r w:rsidR="00074109">
        <w:rPr>
          <w:rFonts w:asciiTheme="minorHAnsi" w:hAnsiTheme="minorHAnsi"/>
          <w:szCs w:val="24"/>
        </w:rPr>
        <w:t>30</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41AEE5AF" w14:textId="77777777" w:rsidR="00074109" w:rsidRPr="00074109" w:rsidRDefault="002A6E6D" w:rsidP="0007410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6A2C5467" w:rsidR="002A6E6D" w:rsidRPr="00074109" w:rsidRDefault="002A6E6D" w:rsidP="00074109">
      <w:pPr>
        <w:pStyle w:val="Default"/>
        <w:widowControl/>
        <w:numPr>
          <w:ilvl w:val="0"/>
          <w:numId w:val="77"/>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40FFE45F" w14:textId="5117B9B1"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 xml:space="preserve">y, z zastrzeżeniem przepisów § </w:t>
      </w:r>
      <w:r w:rsidR="00074109">
        <w:rPr>
          <w:rFonts w:ascii="Calibri" w:hAnsi="Calibri" w:cs="Calibri"/>
        </w:rPr>
        <w:t>4</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5B76B600"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 xml:space="preserve">tórym mowa w ust. </w:t>
      </w:r>
      <w:r w:rsidR="00074109">
        <w:rPr>
          <w:rFonts w:ascii="Calibri" w:hAnsi="Calibri" w:cs="Calibri"/>
        </w:rPr>
        <w:t>3</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 xml:space="preserve">użenie Umowy stosownie do ust. </w:t>
      </w:r>
      <w:r w:rsidR="00074109">
        <w:rPr>
          <w:rFonts w:ascii="Calibri" w:hAnsi="Calibri" w:cs="Calibri"/>
        </w:rPr>
        <w:t>3</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E0F6B12" w14:textId="77777777" w:rsid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19FB7049" w:rsidR="002A6E6D" w:rsidRP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proofErr w:type="spellStart"/>
      <w:r>
        <w:rPr>
          <w:rFonts w:asciiTheme="minorHAnsi" w:hAnsiTheme="minorHAnsi"/>
          <w:szCs w:val="24"/>
        </w:rPr>
        <w:t>t.j</w:t>
      </w:r>
      <w:proofErr w:type="spellEnd"/>
      <w:r>
        <w:rPr>
          <w:rFonts w:asciiTheme="minorHAnsi" w:hAnsiTheme="minorHAnsi"/>
          <w:szCs w:val="24"/>
        </w:rPr>
        <w:t>.</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53B6140F" w:rsidR="000B321D" w:rsidRDefault="000B321D">
      <w:pPr>
        <w:suppressAutoHyphens w:val="0"/>
        <w:overflowPunct/>
        <w:autoSpaceDE/>
        <w:spacing w:after="0"/>
        <w:jc w:val="left"/>
        <w:textAlignment w:val="auto"/>
        <w:rPr>
          <w:rFonts w:asciiTheme="minorHAnsi" w:hAnsiTheme="minorHAnsi"/>
          <w:sz w:val="16"/>
          <w:szCs w:val="16"/>
        </w:rPr>
      </w:pPr>
    </w:p>
    <w:p w14:paraId="0F24369D" w14:textId="14C87CD4" w:rsidR="000B321D" w:rsidRPr="006938B2" w:rsidRDefault="000B321D" w:rsidP="000B321D">
      <w:pPr>
        <w:pStyle w:val="Nagwek2"/>
        <w:tabs>
          <w:tab w:val="right" w:pos="9071"/>
        </w:tabs>
        <w:rPr>
          <w:rFonts w:asciiTheme="minorHAnsi" w:hAnsiTheme="minorHAnsi"/>
          <w:bCs w:val="0"/>
          <w:iCs/>
        </w:rPr>
      </w:pPr>
      <w:proofErr w:type="spellStart"/>
      <w:r>
        <w:rPr>
          <w:rFonts w:asciiTheme="minorHAnsi" w:hAnsiTheme="minorHAnsi"/>
        </w:rPr>
        <w:t>Ozn</w:t>
      </w:r>
      <w:proofErr w:type="spellEnd"/>
      <w:r>
        <w:rPr>
          <w:rFonts w:asciiTheme="minorHAnsi" w:hAnsiTheme="minorHAnsi"/>
        </w:rPr>
        <w:t>. postępowania 0</w:t>
      </w:r>
      <w:r w:rsidR="00DE2AA4">
        <w:rPr>
          <w:rFonts w:asciiTheme="minorHAnsi" w:hAnsiTheme="minorHAnsi"/>
        </w:rPr>
        <w:t>4</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w:t>
      </w:r>
      <w:proofErr w:type="spellStart"/>
      <w:r>
        <w:rPr>
          <w:rFonts w:asciiTheme="minorHAnsi" w:hAnsiTheme="minorHAnsi"/>
        </w:rPr>
        <w:t>s</w:t>
      </w:r>
      <w:r w:rsidRPr="006938B2">
        <w:rPr>
          <w:rFonts w:asciiTheme="minorHAnsi" w:hAnsiTheme="minorHAnsi"/>
        </w:rPr>
        <w:t>wz</w:t>
      </w:r>
      <w:proofErr w:type="spellEnd"/>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w:t>
      </w:r>
      <w:proofErr w:type="spellStart"/>
      <w:r w:rsidRPr="006B0966">
        <w:rPr>
          <w:rFonts w:ascii="Calibri" w:hAnsi="Calibri" w:cs="Calibri"/>
          <w:sz w:val="22"/>
          <w:szCs w:val="22"/>
        </w:rPr>
        <w:t>CEiDG</w:t>
      </w:r>
      <w:proofErr w:type="spellEnd"/>
      <w:r w:rsidRPr="006B0966">
        <w:rPr>
          <w:rFonts w:ascii="Calibri" w:hAnsi="Calibri" w:cs="Calibri"/>
          <w:sz w:val="22"/>
          <w:szCs w:val="22"/>
        </w:rPr>
        <w:t>)</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 xml:space="preserve">Dotyczy postępowania </w:t>
      </w:r>
      <w:proofErr w:type="spellStart"/>
      <w:r w:rsidRPr="00E8548B">
        <w:rPr>
          <w:rFonts w:ascii="Calibri" w:hAnsi="Calibri" w:cs="Calibri"/>
        </w:rPr>
        <w:t>pn</w:t>
      </w:r>
      <w:proofErr w:type="spellEnd"/>
      <w:r w:rsidRPr="00E8548B">
        <w:rPr>
          <w:rFonts w:ascii="Calibri" w:hAnsi="Calibri" w:cs="Calibr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7084DF7B" w:rsidR="00FE4C5A" w:rsidRDefault="00FE4C5A" w:rsidP="00FE4C5A">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altName w:val="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2"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3"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322746">
    <w:abstractNumId w:val="73"/>
  </w:num>
  <w:num w:numId="2" w16cid:durableId="1468083286">
    <w:abstractNumId w:val="46"/>
  </w:num>
  <w:num w:numId="3" w16cid:durableId="1050376009">
    <w:abstractNumId w:val="73"/>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16cid:durableId="1158495630">
    <w:abstractNumId w:val="73"/>
  </w:num>
  <w:num w:numId="5" w16cid:durableId="733048398">
    <w:abstractNumId w:val="64"/>
  </w:num>
  <w:num w:numId="6" w16cid:durableId="162088432">
    <w:abstractNumId w:val="73"/>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130248583">
    <w:abstractNumId w:val="73"/>
    <w:lvlOverride w:ilvl="0">
      <w:startOverride w:val="1"/>
      <w:lvl w:ilvl="0">
        <w:start w:val="1"/>
        <w:numFmt w:val="decimal"/>
        <w:pStyle w:val="SIWZ1"/>
        <w:lvlText w:val="%1."/>
        <w:lvlJc w:val="left"/>
        <w:pPr>
          <w:ind w:left="360" w:hanging="360"/>
        </w:pPr>
        <w:rPr>
          <w:b w:val="0"/>
          <w:i w:val="0"/>
          <w:color w:val="auto"/>
        </w:rPr>
      </w:lvl>
    </w:lvlOverride>
  </w:num>
  <w:num w:numId="8" w16cid:durableId="8064752">
    <w:abstractNumId w:val="73"/>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197009209">
    <w:abstractNumId w:val="73"/>
    <w:lvlOverride w:ilvl="0">
      <w:startOverride w:val="1"/>
      <w:lvl w:ilvl="0">
        <w:start w:val="1"/>
        <w:numFmt w:val="decimal"/>
        <w:pStyle w:val="SIWZ1"/>
        <w:lvlText w:val="%1."/>
        <w:lvlJc w:val="left"/>
        <w:pPr>
          <w:ind w:left="360" w:hanging="360"/>
        </w:pPr>
        <w:rPr>
          <w:b w:val="0"/>
          <w:i w:val="0"/>
          <w:color w:val="auto"/>
        </w:rPr>
      </w:lvl>
    </w:lvlOverride>
  </w:num>
  <w:num w:numId="10" w16cid:durableId="17217063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141351">
    <w:abstractNumId w:val="73"/>
    <w:lvlOverride w:ilvl="0">
      <w:startOverride w:val="1"/>
      <w:lvl w:ilvl="0">
        <w:start w:val="1"/>
        <w:numFmt w:val="decimal"/>
        <w:pStyle w:val="SIWZ1"/>
        <w:lvlText w:val="%1."/>
        <w:lvlJc w:val="left"/>
        <w:pPr>
          <w:ind w:left="360" w:hanging="360"/>
        </w:pPr>
        <w:rPr>
          <w:b w:val="0"/>
          <w:i w:val="0"/>
          <w:color w:val="auto"/>
        </w:rPr>
      </w:lvl>
    </w:lvlOverride>
  </w:num>
  <w:num w:numId="12" w16cid:durableId="17975266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276258">
    <w:abstractNumId w:val="73"/>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1489251661">
    <w:abstractNumId w:val="18"/>
  </w:num>
  <w:num w:numId="15" w16cid:durableId="1461219033">
    <w:abstractNumId w:val="51"/>
  </w:num>
  <w:num w:numId="16" w16cid:durableId="1995790977">
    <w:abstractNumId w:val="73"/>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16cid:durableId="476649671">
    <w:abstractNumId w:val="73"/>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16cid:durableId="768814591">
    <w:abstractNumId w:val="9"/>
  </w:num>
  <w:num w:numId="19" w16cid:durableId="1390492270">
    <w:abstractNumId w:val="44"/>
  </w:num>
  <w:num w:numId="20" w16cid:durableId="179245637">
    <w:abstractNumId w:val="66"/>
  </w:num>
  <w:num w:numId="21" w16cid:durableId="783113630">
    <w:abstractNumId w:val="73"/>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16cid:durableId="1493905641">
    <w:abstractNumId w:val="8"/>
  </w:num>
  <w:num w:numId="23" w16cid:durableId="674579497">
    <w:abstractNumId w:val="3"/>
  </w:num>
  <w:num w:numId="24" w16cid:durableId="849640945">
    <w:abstractNumId w:val="2"/>
  </w:num>
  <w:num w:numId="25" w16cid:durableId="1075517047">
    <w:abstractNumId w:val="1"/>
  </w:num>
  <w:num w:numId="26" w16cid:durableId="1688680062">
    <w:abstractNumId w:val="0"/>
  </w:num>
  <w:num w:numId="27" w16cid:durableId="176046964">
    <w:abstractNumId w:val="7"/>
  </w:num>
  <w:num w:numId="28" w16cid:durableId="1330712073">
    <w:abstractNumId w:val="6"/>
  </w:num>
  <w:num w:numId="29" w16cid:durableId="1171869123">
    <w:abstractNumId w:val="5"/>
  </w:num>
  <w:num w:numId="30" w16cid:durableId="2008971702">
    <w:abstractNumId w:val="4"/>
  </w:num>
  <w:num w:numId="31" w16cid:durableId="87897752">
    <w:abstractNumId w:val="74"/>
  </w:num>
  <w:num w:numId="32" w16cid:durableId="15120655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249857">
    <w:abstractNumId w:val="62"/>
  </w:num>
  <w:num w:numId="34" w16cid:durableId="1149978014">
    <w:abstractNumId w:val="75"/>
  </w:num>
  <w:num w:numId="35" w16cid:durableId="819005466">
    <w:abstractNumId w:val="21"/>
  </w:num>
  <w:num w:numId="36" w16cid:durableId="326597493">
    <w:abstractNumId w:val="28"/>
  </w:num>
  <w:num w:numId="37" w16cid:durableId="2016495342">
    <w:abstractNumId w:val="73"/>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16cid:durableId="392318903">
    <w:abstractNumId w:val="45"/>
  </w:num>
  <w:num w:numId="39" w16cid:durableId="1632592808">
    <w:abstractNumId w:val="58"/>
  </w:num>
  <w:num w:numId="40" w16cid:durableId="917904609">
    <w:abstractNumId w:val="29"/>
  </w:num>
  <w:num w:numId="41" w16cid:durableId="1133132035">
    <w:abstractNumId w:val="71"/>
  </w:num>
  <w:num w:numId="42" w16cid:durableId="237061616">
    <w:abstractNumId w:val="55"/>
  </w:num>
  <w:num w:numId="43" w16cid:durableId="970358399">
    <w:abstractNumId w:val="47"/>
  </w:num>
  <w:num w:numId="44" w16cid:durableId="649745921">
    <w:abstractNumId w:val="72"/>
  </w:num>
  <w:num w:numId="45" w16cid:durableId="422801882">
    <w:abstractNumId w:val="30"/>
  </w:num>
  <w:num w:numId="46" w16cid:durableId="193352941">
    <w:abstractNumId w:val="32"/>
  </w:num>
  <w:num w:numId="47" w16cid:durableId="396514261">
    <w:abstractNumId w:val="68"/>
  </w:num>
  <w:num w:numId="48" w16cid:durableId="1114252716">
    <w:abstractNumId w:val="54"/>
  </w:num>
  <w:num w:numId="49" w16cid:durableId="713891403">
    <w:abstractNumId w:val="20"/>
  </w:num>
  <w:num w:numId="50" w16cid:durableId="1423450426">
    <w:abstractNumId w:val="27"/>
  </w:num>
  <w:num w:numId="51" w16cid:durableId="2110655150">
    <w:abstractNumId w:val="42"/>
  </w:num>
  <w:num w:numId="52" w16cid:durableId="2144496900">
    <w:abstractNumId w:val="52"/>
  </w:num>
  <w:num w:numId="53" w16cid:durableId="1610166515">
    <w:abstractNumId w:val="53"/>
  </w:num>
  <w:num w:numId="54" w16cid:durableId="1380980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1384951">
    <w:abstractNumId w:val="40"/>
  </w:num>
  <w:num w:numId="56" w16cid:durableId="1226381112">
    <w:abstractNumId w:val="37"/>
  </w:num>
  <w:num w:numId="57" w16cid:durableId="883058175">
    <w:abstractNumId w:val="35"/>
  </w:num>
  <w:num w:numId="58" w16cid:durableId="1772512750">
    <w:abstractNumId w:val="43"/>
  </w:num>
  <w:num w:numId="59" w16cid:durableId="1420640893">
    <w:abstractNumId w:val="57"/>
  </w:num>
  <w:num w:numId="60" w16cid:durableId="2036344912">
    <w:abstractNumId w:val="26"/>
  </w:num>
  <w:num w:numId="61" w16cid:durableId="432627830">
    <w:abstractNumId w:val="22"/>
  </w:num>
  <w:num w:numId="62" w16cid:durableId="1953777524">
    <w:abstractNumId w:val="63"/>
  </w:num>
  <w:num w:numId="63" w16cid:durableId="866336177">
    <w:abstractNumId w:val="17"/>
  </w:num>
  <w:num w:numId="64" w16cid:durableId="1339623802">
    <w:abstractNumId w:val="69"/>
  </w:num>
  <w:num w:numId="65" w16cid:durableId="1856114254">
    <w:abstractNumId w:val="24"/>
  </w:num>
  <w:num w:numId="66" w16cid:durableId="802192190">
    <w:abstractNumId w:val="56"/>
  </w:num>
  <w:num w:numId="67" w16cid:durableId="568345326">
    <w:abstractNumId w:val="23"/>
  </w:num>
  <w:num w:numId="68" w16cid:durableId="2135173390">
    <w:abstractNumId w:val="31"/>
  </w:num>
  <w:num w:numId="69" w16cid:durableId="1491410231">
    <w:abstractNumId w:val="49"/>
  </w:num>
  <w:num w:numId="70" w16cid:durableId="481627723">
    <w:abstractNumId w:val="41"/>
  </w:num>
  <w:num w:numId="71" w16cid:durableId="857351989">
    <w:abstractNumId w:val="67"/>
  </w:num>
  <w:num w:numId="72" w16cid:durableId="557597862">
    <w:abstractNumId w:val="61"/>
  </w:num>
  <w:num w:numId="73" w16cid:durableId="816143786">
    <w:abstractNumId w:val="65"/>
  </w:num>
  <w:num w:numId="74" w16cid:durableId="446504703">
    <w:abstractNumId w:val="25"/>
  </w:num>
  <w:num w:numId="75" w16cid:durableId="655111107">
    <w:abstractNumId w:val="70"/>
  </w:num>
  <w:num w:numId="76" w16cid:durableId="1186599360">
    <w:abstractNumId w:val="13"/>
  </w:num>
  <w:num w:numId="77" w16cid:durableId="1455754949">
    <w:abstractNumId w:val="60"/>
  </w:num>
  <w:num w:numId="78" w16cid:durableId="942491363">
    <w:abstractNumId w:val="34"/>
  </w:num>
  <w:num w:numId="79" w16cid:durableId="745345150">
    <w:abstractNumId w:val="38"/>
  </w:num>
  <w:num w:numId="80" w16cid:durableId="1817646917">
    <w:abstractNumId w:val="39"/>
  </w:num>
  <w:num w:numId="81" w16cid:durableId="273681732">
    <w:abstractNumId w:val="19"/>
  </w:num>
  <w:num w:numId="82" w16cid:durableId="1301963847">
    <w:abstractNumId w:val="48"/>
  </w:num>
  <w:num w:numId="83" w16cid:durableId="1636905676">
    <w:abstractNumId w:val="50"/>
  </w:num>
  <w:num w:numId="84" w16cid:durableId="414283260">
    <w:abstractNumId w:val="33"/>
  </w:num>
  <w:num w:numId="85" w16cid:durableId="1018042494">
    <w:abstractNumId w:val="36"/>
  </w:num>
  <w:num w:numId="86" w16cid:durableId="3813714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2BD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1E26"/>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050"/>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692A"/>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61A"/>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4BDD"/>
    <w:rsid w:val="00985863"/>
    <w:rsid w:val="00985A2A"/>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2B1"/>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9F7"/>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28D3"/>
    <w:rsid w:val="00BF3660"/>
    <w:rsid w:val="00BF44A1"/>
    <w:rsid w:val="00BF489D"/>
    <w:rsid w:val="00BF5AA7"/>
    <w:rsid w:val="00BF5B87"/>
    <w:rsid w:val="00BF5C1E"/>
    <w:rsid w:val="00BF7CD2"/>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2AA4"/>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41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10346</Words>
  <Characters>65435</Characters>
  <Application>Microsoft Office Word</Application>
  <DocSecurity>0</DocSecurity>
  <Lines>545</Lines>
  <Paragraphs>151</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75630</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4</cp:revision>
  <cp:lastPrinted>2022-04-05T16:18:00Z</cp:lastPrinted>
  <dcterms:created xsi:type="dcterms:W3CDTF">2022-04-20T15:30:00Z</dcterms:created>
  <dcterms:modified xsi:type="dcterms:W3CDTF">2022-04-20T18:03:00Z</dcterms:modified>
</cp:coreProperties>
</file>